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01D6D" w14:textId="1BEB416D" w:rsidR="00DB2790" w:rsidRDefault="00DB2790" w:rsidP="00DB2790">
      <w:pPr>
        <w:tabs>
          <w:tab w:val="center" w:pos="4536"/>
          <w:tab w:val="right" w:pos="7938"/>
          <w:tab w:val="right" w:pos="9639"/>
        </w:tabs>
        <w:ind w:right="2"/>
        <w:rPr>
          <w:rFonts w:ascii="Arial" w:hAnsi="Arial" w:cs="Arial"/>
          <w:b/>
          <w:bCs/>
          <w:sz w:val="28"/>
        </w:rPr>
      </w:pPr>
      <w:r>
        <w:rPr>
          <w:rFonts w:ascii="Arial" w:hAnsi="Arial" w:cs="Arial"/>
          <w:b/>
          <w:bCs/>
          <w:sz w:val="28"/>
        </w:rPr>
        <w:t>3GPP TSG RAN WG1 #106-e</w:t>
      </w:r>
      <w:r>
        <w:rPr>
          <w:rFonts w:ascii="Arial" w:hAnsi="Arial" w:cs="Arial"/>
          <w:b/>
          <w:bCs/>
          <w:sz w:val="28"/>
        </w:rPr>
        <w:tab/>
      </w:r>
      <w:r>
        <w:rPr>
          <w:rFonts w:ascii="Arial" w:hAnsi="Arial" w:cs="Arial"/>
          <w:b/>
          <w:bCs/>
          <w:sz w:val="28"/>
        </w:rPr>
        <w:tab/>
      </w:r>
      <w:r>
        <w:rPr>
          <w:rFonts w:ascii="Arial" w:hAnsi="Arial" w:cs="Arial"/>
          <w:b/>
          <w:bCs/>
          <w:sz w:val="28"/>
        </w:rPr>
        <w:tab/>
        <w:t>R1-210675</w:t>
      </w:r>
      <w:r>
        <w:rPr>
          <w:rFonts w:ascii="Arial" w:hAnsi="Arial" w:cs="Arial"/>
          <w:b/>
          <w:bCs/>
          <w:sz w:val="28"/>
        </w:rPr>
        <w:t>8</w:t>
      </w:r>
    </w:p>
    <w:p w14:paraId="2BA59286" w14:textId="77777777" w:rsidR="00DB2790" w:rsidRDefault="00DB2790" w:rsidP="00DB279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298F8AA9" w14:textId="77777777" w:rsidR="00DF4FF0" w:rsidRDefault="00DF4FF0" w:rsidP="00620296">
      <w:pPr>
        <w:tabs>
          <w:tab w:val="left" w:pos="1985"/>
        </w:tabs>
        <w:jc w:val="both"/>
        <w:rPr>
          <w:rFonts w:ascii="Arial" w:hAnsi="Arial"/>
          <w:b/>
          <w:sz w:val="24"/>
          <w:lang w:val="en-US"/>
        </w:rPr>
      </w:pPr>
    </w:p>
    <w:p w14:paraId="66A2A3CB" w14:textId="144B5884" w:rsidR="00620296" w:rsidRPr="004F68B1" w:rsidRDefault="00620296" w:rsidP="00620296">
      <w:pPr>
        <w:tabs>
          <w:tab w:val="left" w:pos="1985"/>
        </w:tabs>
        <w:jc w:val="both"/>
        <w:rPr>
          <w:rFonts w:ascii="Arial" w:hAnsi="Arial"/>
          <w:sz w:val="24"/>
          <w:lang w:val="en-US"/>
        </w:rPr>
      </w:pPr>
      <w:r w:rsidRPr="004F68B1">
        <w:rPr>
          <w:rFonts w:ascii="Arial" w:hAnsi="Arial"/>
          <w:b/>
          <w:sz w:val="24"/>
          <w:lang w:val="en-US"/>
        </w:rPr>
        <w:t>Agenda item:</w:t>
      </w:r>
      <w:r w:rsidRPr="004F68B1">
        <w:rPr>
          <w:rFonts w:ascii="Arial" w:hAnsi="Arial"/>
          <w:sz w:val="24"/>
          <w:lang w:val="en-US"/>
        </w:rPr>
        <w:tab/>
      </w:r>
      <w:bookmarkStart w:id="0" w:name="Source"/>
      <w:bookmarkEnd w:id="0"/>
      <w:r w:rsidR="00874392" w:rsidRPr="004F68B1">
        <w:rPr>
          <w:rFonts w:ascii="Arial" w:hAnsi="Arial"/>
          <w:sz w:val="24"/>
          <w:lang w:val="en-US"/>
        </w:rPr>
        <w:t>8.9.1</w:t>
      </w:r>
    </w:p>
    <w:p w14:paraId="08727EFD" w14:textId="77777777" w:rsidR="00620296" w:rsidRPr="004F68B1" w:rsidRDefault="00620296" w:rsidP="00620296">
      <w:pPr>
        <w:tabs>
          <w:tab w:val="left" w:pos="1985"/>
        </w:tabs>
        <w:jc w:val="both"/>
        <w:rPr>
          <w:rFonts w:ascii="Arial" w:hAnsi="Arial"/>
          <w:sz w:val="24"/>
          <w:lang w:val="en-US"/>
        </w:rPr>
      </w:pPr>
      <w:r w:rsidRPr="004F68B1">
        <w:rPr>
          <w:rFonts w:ascii="Arial" w:hAnsi="Arial"/>
          <w:b/>
          <w:sz w:val="24"/>
          <w:lang w:val="en-US"/>
        </w:rPr>
        <w:t xml:space="preserve">Source: </w:t>
      </w:r>
      <w:r w:rsidRPr="004F68B1">
        <w:rPr>
          <w:rFonts w:ascii="Arial" w:hAnsi="Arial"/>
          <w:b/>
          <w:sz w:val="24"/>
          <w:lang w:val="en-US"/>
        </w:rPr>
        <w:tab/>
      </w:r>
      <w:r w:rsidRPr="004F68B1">
        <w:rPr>
          <w:rFonts w:ascii="Arial" w:hAnsi="Arial"/>
          <w:sz w:val="24"/>
          <w:lang w:val="en-US"/>
        </w:rPr>
        <w:t>Qualcomm Incorporated</w:t>
      </w:r>
    </w:p>
    <w:p w14:paraId="2B7E5407" w14:textId="2614144E" w:rsidR="00620296" w:rsidRPr="004F68B1" w:rsidRDefault="00620296" w:rsidP="00620296">
      <w:pPr>
        <w:ind w:left="1988" w:hanging="1988"/>
        <w:jc w:val="both"/>
        <w:rPr>
          <w:rFonts w:ascii="Arial" w:hAnsi="Arial"/>
          <w:sz w:val="28"/>
          <w:lang w:val="en-US"/>
        </w:rPr>
      </w:pPr>
      <w:r w:rsidRPr="004F68B1">
        <w:rPr>
          <w:rFonts w:ascii="Arial" w:hAnsi="Arial"/>
          <w:b/>
          <w:sz w:val="24"/>
          <w:lang w:val="en-US"/>
        </w:rPr>
        <w:t>Title:</w:t>
      </w:r>
      <w:r w:rsidRPr="004F68B1">
        <w:rPr>
          <w:rFonts w:ascii="Arial" w:hAnsi="Arial"/>
          <w:sz w:val="24"/>
          <w:lang w:val="en-US"/>
        </w:rPr>
        <w:t xml:space="preserve"> </w:t>
      </w:r>
      <w:r w:rsidRPr="004F68B1">
        <w:rPr>
          <w:rFonts w:ascii="Arial" w:hAnsi="Arial"/>
          <w:sz w:val="22"/>
          <w:lang w:val="en-US"/>
        </w:rPr>
        <w:tab/>
      </w:r>
      <w:r w:rsidR="00874392" w:rsidRPr="004F68B1">
        <w:rPr>
          <w:rFonts w:ascii="Arial" w:hAnsi="Arial"/>
          <w:sz w:val="24"/>
          <w:lang w:val="en-US"/>
        </w:rPr>
        <w:t>Support of 16-QAM for NB-IoT</w:t>
      </w:r>
    </w:p>
    <w:p w14:paraId="412B4E4E" w14:textId="75646A95" w:rsidR="00B32506" w:rsidRPr="004F68B1" w:rsidRDefault="00620296" w:rsidP="008208F6">
      <w:pPr>
        <w:tabs>
          <w:tab w:val="left" w:pos="1985"/>
        </w:tabs>
        <w:ind w:right="-441"/>
        <w:jc w:val="both"/>
        <w:rPr>
          <w:rFonts w:ascii="Arial" w:hAnsi="Arial"/>
          <w:sz w:val="24"/>
          <w:lang w:val="en-US"/>
        </w:rPr>
      </w:pPr>
      <w:r w:rsidRPr="004F68B1">
        <w:rPr>
          <w:rFonts w:ascii="Arial" w:hAnsi="Arial"/>
          <w:b/>
          <w:sz w:val="24"/>
          <w:lang w:val="en-US"/>
        </w:rPr>
        <w:t>Document for:</w:t>
      </w:r>
      <w:r w:rsidRPr="004F68B1">
        <w:rPr>
          <w:rFonts w:ascii="Arial" w:hAnsi="Arial"/>
          <w:sz w:val="24"/>
          <w:lang w:val="en-US"/>
        </w:rPr>
        <w:tab/>
      </w:r>
      <w:bookmarkStart w:id="1" w:name="DocumentFor"/>
      <w:bookmarkEnd w:id="1"/>
      <w:r w:rsidRPr="004F68B1">
        <w:rPr>
          <w:rFonts w:ascii="Arial" w:hAnsi="Arial"/>
          <w:sz w:val="24"/>
          <w:lang w:val="en-US"/>
        </w:rPr>
        <w:t>Discussion and Decision</w:t>
      </w:r>
    </w:p>
    <w:p w14:paraId="2859D330" w14:textId="6EAD4AFC" w:rsidR="008208F6" w:rsidRPr="004F68B1" w:rsidRDefault="008208F6" w:rsidP="008208F6">
      <w:pPr>
        <w:tabs>
          <w:tab w:val="left" w:pos="1985"/>
        </w:tabs>
        <w:ind w:right="-441"/>
        <w:jc w:val="both"/>
        <w:rPr>
          <w:rFonts w:ascii="Arial" w:hAnsi="Arial"/>
          <w:sz w:val="24"/>
          <w:lang w:val="en-US"/>
        </w:rPr>
      </w:pPr>
    </w:p>
    <w:p w14:paraId="092284EF" w14:textId="1FBEBF87" w:rsidR="001B159B" w:rsidRPr="004F68B1" w:rsidRDefault="001B159B" w:rsidP="001B159B">
      <w:pPr>
        <w:pStyle w:val="Heading1"/>
        <w:numPr>
          <w:ilvl w:val="0"/>
          <w:numId w:val="1"/>
        </w:numPr>
        <w:tabs>
          <w:tab w:val="clear" w:pos="1140"/>
          <w:tab w:val="num" w:pos="720"/>
        </w:tabs>
        <w:ind w:left="720" w:hanging="720"/>
        <w:jc w:val="both"/>
        <w:rPr>
          <w:lang w:val="en-US"/>
        </w:rPr>
      </w:pPr>
      <w:r w:rsidRPr="004F68B1">
        <w:rPr>
          <w:lang w:val="en-US"/>
        </w:rPr>
        <w:t>Background</w:t>
      </w:r>
    </w:p>
    <w:p w14:paraId="0FD013CD" w14:textId="534809D3" w:rsidR="00874392" w:rsidRPr="004F68B1" w:rsidRDefault="00874392" w:rsidP="00874392">
      <w:pPr>
        <w:rPr>
          <w:lang w:val="en-US"/>
        </w:rPr>
      </w:pPr>
      <w:r w:rsidRPr="004F68B1">
        <w:rPr>
          <w:lang w:val="en-US"/>
        </w:rPr>
        <w:t>A new work item on additional enhancements for NB-IoT and LTE-MTC was approved in [1]. One of the objectives is to introduce 16-QAM for NB-IoT:</w:t>
      </w:r>
    </w:p>
    <w:p w14:paraId="51E44305" w14:textId="77777777" w:rsidR="00874392" w:rsidRPr="004F68B1" w:rsidRDefault="00874392" w:rsidP="00F93256">
      <w:pPr>
        <w:widowControl w:val="0"/>
        <w:numPr>
          <w:ilvl w:val="0"/>
          <w:numId w:val="3"/>
        </w:numPr>
        <w:spacing w:after="0" w:line="360" w:lineRule="auto"/>
        <w:contextualSpacing/>
        <w:jc w:val="both"/>
        <w:rPr>
          <w:rFonts w:eastAsia="DengXian"/>
          <w:lang w:val="en-US" w:eastAsia="zh-CN"/>
        </w:rPr>
      </w:pPr>
      <w:r w:rsidRPr="004F68B1">
        <w:rPr>
          <w:rFonts w:eastAsia="DengXian"/>
          <w:lang w:val="en-US" w:eastAsia="zh-CN"/>
        </w:rPr>
        <w:t xml:space="preserve">Specify 16-QAM for unicast in UL and DL, including necessary changes to DL power allocation for NPDSCH and DL TBS. This is to be specified without a new NB-IoT UE category. For DL, </w:t>
      </w:r>
      <w:r w:rsidRPr="004F68B1">
        <w:rPr>
          <w:rFonts w:eastAsia="SimSun"/>
          <w:lang w:val="en-US" w:eastAsia="zh-CN"/>
        </w:rPr>
        <w:t xml:space="preserve">increase in maximum TBS of </w:t>
      </w:r>
      <w:proofErr w:type="gramStart"/>
      <w:r w:rsidRPr="004F68B1">
        <w:rPr>
          <w:rFonts w:eastAsia="SimSun"/>
          <w:lang w:val="en-US" w:eastAsia="zh-CN"/>
        </w:rPr>
        <w:t>e.g.</w:t>
      </w:r>
      <w:proofErr w:type="gramEnd"/>
      <w:r w:rsidRPr="004F68B1">
        <w:rPr>
          <w:rFonts w:eastAsia="SimSun"/>
          <w:lang w:val="en-US" w:eastAsia="zh-CN"/>
        </w:rPr>
        <w:t xml:space="preserve"> 2x the Rel-16 maximum, and soft buffer size will be specified by modifying at least existing Category NB2. For UL, the maximum TBS is not increased.</w:t>
      </w:r>
      <w:r w:rsidRPr="004F68B1">
        <w:rPr>
          <w:rFonts w:eastAsia="DengXian"/>
          <w:lang w:val="en-US" w:eastAsia="zh-CN"/>
        </w:rPr>
        <w:t xml:space="preserve"> [NB-IoT] [RAN1, RAN4]</w:t>
      </w:r>
    </w:p>
    <w:p w14:paraId="335B7065" w14:textId="15A29AFC" w:rsidR="00874392" w:rsidRPr="004F68B1" w:rsidRDefault="00874392" w:rsidP="006C1D96">
      <w:pPr>
        <w:rPr>
          <w:lang w:val="en-US"/>
        </w:rPr>
      </w:pPr>
    </w:p>
    <w:p w14:paraId="1A207AEF" w14:textId="5D771380" w:rsidR="00874392" w:rsidRPr="004F68B1" w:rsidRDefault="005F6860" w:rsidP="006C1D96">
      <w:pPr>
        <w:rPr>
          <w:lang w:val="en-US"/>
        </w:rPr>
      </w:pPr>
      <w:r w:rsidRPr="004F68B1">
        <w:rPr>
          <w:lang w:val="en-US"/>
        </w:rPr>
        <w:t>In RAN1#10</w:t>
      </w:r>
      <w:r w:rsidR="00DB2790">
        <w:rPr>
          <w:lang w:val="en-US"/>
        </w:rPr>
        <w:t>5</w:t>
      </w:r>
      <w:r w:rsidRPr="004F68B1">
        <w:rPr>
          <w:lang w:val="en-US"/>
        </w:rPr>
        <w:t>-e, the following was agreed:</w:t>
      </w:r>
    </w:p>
    <w:p w14:paraId="4103E31E" w14:textId="77777777" w:rsidR="00DB2790" w:rsidRPr="00CE3541" w:rsidRDefault="00DB2790" w:rsidP="00DB2790">
      <w:pPr>
        <w:rPr>
          <w:rFonts w:cs="Times"/>
          <w:highlight w:val="green"/>
        </w:rPr>
      </w:pPr>
      <w:r w:rsidRPr="00CE3541">
        <w:rPr>
          <w:rFonts w:cs="Times"/>
          <w:highlight w:val="green"/>
        </w:rPr>
        <w:t>Agreement</w:t>
      </w:r>
    </w:p>
    <w:p w14:paraId="4D2CD8A7" w14:textId="77777777" w:rsidR="00DB2790" w:rsidRPr="00CE3541" w:rsidRDefault="00DB2790" w:rsidP="00DB2790">
      <w:pPr>
        <w:pStyle w:val="ListParagraph"/>
        <w:numPr>
          <w:ilvl w:val="0"/>
          <w:numId w:val="13"/>
        </w:numPr>
        <w:rPr>
          <w:rFonts w:cs="Times"/>
        </w:rPr>
      </w:pPr>
      <w:r w:rsidRPr="00CE3541">
        <w:rPr>
          <w:rFonts w:cs="Times"/>
        </w:rPr>
        <w:t>Support 16-QAM for multi-TB scheduling.</w:t>
      </w:r>
    </w:p>
    <w:p w14:paraId="4C8067F1" w14:textId="77777777" w:rsidR="00DB2790" w:rsidRPr="00CE3541" w:rsidRDefault="00DB2790" w:rsidP="00DB2790">
      <w:pPr>
        <w:rPr>
          <w:rFonts w:cs="Times"/>
          <w:highlight w:val="darkYellow"/>
        </w:rPr>
      </w:pPr>
      <w:r w:rsidRPr="00CE3541">
        <w:rPr>
          <w:rFonts w:cs="Times"/>
          <w:highlight w:val="darkYellow"/>
        </w:rPr>
        <w:t>Working Assumption</w:t>
      </w:r>
    </w:p>
    <w:p w14:paraId="75206A41" w14:textId="77777777" w:rsidR="00DB2790" w:rsidRPr="00CE3541" w:rsidRDefault="00DB2790" w:rsidP="00DB2790">
      <w:pPr>
        <w:rPr>
          <w:rFonts w:cs="Times"/>
        </w:rPr>
      </w:pPr>
      <w:r w:rsidRPr="00CE3541">
        <w:rPr>
          <w:rFonts w:cs="Times"/>
        </w:rPr>
        <w:t>Support 16-QAM for NPUSCH in PUR procedure.</w:t>
      </w:r>
    </w:p>
    <w:p w14:paraId="77993A6B" w14:textId="77777777" w:rsidR="00DB2790" w:rsidRPr="00CE3541" w:rsidRDefault="00DB2790" w:rsidP="00DB2790">
      <w:pPr>
        <w:pStyle w:val="ListParagraph"/>
        <w:numPr>
          <w:ilvl w:val="0"/>
          <w:numId w:val="12"/>
        </w:numPr>
        <w:overflowPunct/>
        <w:autoSpaceDE/>
        <w:autoSpaceDN/>
        <w:adjustRightInd/>
        <w:spacing w:after="0"/>
        <w:contextualSpacing w:val="0"/>
        <w:jc w:val="both"/>
        <w:textAlignment w:val="auto"/>
        <w:rPr>
          <w:rFonts w:cs="Times"/>
        </w:rPr>
      </w:pPr>
      <w:r w:rsidRPr="00CE3541">
        <w:rPr>
          <w:rFonts w:cs="Times"/>
        </w:rPr>
        <w:t>FFS on support of 16-QAM for NPDSCH in PUR procedure.</w:t>
      </w:r>
    </w:p>
    <w:p w14:paraId="4C630FFC" w14:textId="77777777" w:rsidR="00DB2790" w:rsidRPr="00CE3541" w:rsidRDefault="00DB2790" w:rsidP="00DB2790">
      <w:pPr>
        <w:rPr>
          <w:rFonts w:cs="Times"/>
          <w:lang w:eastAsia="x-none"/>
        </w:rPr>
      </w:pPr>
    </w:p>
    <w:p w14:paraId="0F690CCB" w14:textId="77777777" w:rsidR="00DB2790" w:rsidRPr="00CE3541" w:rsidRDefault="00DB2790" w:rsidP="00DB2790">
      <w:pPr>
        <w:rPr>
          <w:highlight w:val="green"/>
        </w:rPr>
      </w:pPr>
      <w:r w:rsidRPr="00CE3541">
        <w:rPr>
          <w:highlight w:val="green"/>
        </w:rPr>
        <w:t xml:space="preserve">Agreement </w:t>
      </w:r>
    </w:p>
    <w:p w14:paraId="4C1C7DD8" w14:textId="77777777" w:rsidR="00DB2790" w:rsidRPr="00CE3541" w:rsidRDefault="00DB2790" w:rsidP="00DB2790">
      <w:r w:rsidRPr="00CE3541">
        <w:t>Confirm the working assumption.</w:t>
      </w:r>
    </w:p>
    <w:p w14:paraId="7C14A6D9" w14:textId="77777777" w:rsidR="00DB2790" w:rsidRPr="00CE3541" w:rsidRDefault="00DB2790" w:rsidP="00DB2790">
      <w:pPr>
        <w:pStyle w:val="ListParagraph"/>
        <w:numPr>
          <w:ilvl w:val="0"/>
          <w:numId w:val="12"/>
        </w:numPr>
      </w:pPr>
      <w:r w:rsidRPr="00CE3541">
        <w:t>The DCI size is not increased to support 16-QAM in uplink and downlink.</w:t>
      </w:r>
    </w:p>
    <w:p w14:paraId="3F51DBCD" w14:textId="77777777" w:rsidR="00DB2790" w:rsidRPr="00CE3541" w:rsidRDefault="00DB2790" w:rsidP="00DB2790">
      <w:pPr>
        <w:rPr>
          <w:rFonts w:cs="Times"/>
          <w:highlight w:val="green"/>
        </w:rPr>
      </w:pPr>
      <w:r w:rsidRPr="00CE3541">
        <w:rPr>
          <w:rFonts w:cs="Times"/>
          <w:highlight w:val="green"/>
        </w:rPr>
        <w:t xml:space="preserve">Agreement </w:t>
      </w:r>
    </w:p>
    <w:p w14:paraId="426A22CF" w14:textId="77777777" w:rsidR="00DB2790" w:rsidRPr="00CE3541" w:rsidRDefault="00DB2790" w:rsidP="00DB2790">
      <w:pPr>
        <w:rPr>
          <w:rFonts w:cs="Times"/>
        </w:rPr>
      </w:pPr>
      <w:r w:rsidRPr="00CE3541">
        <w:rPr>
          <w:rFonts w:cs="Times"/>
        </w:rPr>
        <w:t>For the indication of 16-QAM in downlink:</w:t>
      </w:r>
    </w:p>
    <w:p w14:paraId="7CC64925" w14:textId="77777777" w:rsidR="00DB2790" w:rsidRPr="00CE3541" w:rsidRDefault="00DB2790" w:rsidP="00DB2790">
      <w:pPr>
        <w:pStyle w:val="ListParagraph"/>
        <w:numPr>
          <w:ilvl w:val="0"/>
          <w:numId w:val="12"/>
        </w:numPr>
      </w:pPr>
      <w:r w:rsidRPr="00CE3541">
        <w:t>The “Modulation and coding scheme” field in DCI Format N1 is utilized as in legacy for scheduling QPSK.</w:t>
      </w:r>
    </w:p>
    <w:p w14:paraId="5DF10A80" w14:textId="77777777" w:rsidR="00DB2790" w:rsidRPr="00CE3541" w:rsidRDefault="00DB2790" w:rsidP="00DB2790">
      <w:pPr>
        <w:pStyle w:val="ListParagraph"/>
        <w:numPr>
          <w:ilvl w:val="0"/>
          <w:numId w:val="12"/>
        </w:numPr>
      </w:pPr>
      <w:r w:rsidRPr="00CE3541">
        <w:t>One reserved state in the “Modulation and coding scheme” field in DCI Format N1 is utilized to indicate the use of 16QAM.</w:t>
      </w:r>
    </w:p>
    <w:p w14:paraId="032CA64C" w14:textId="77777777" w:rsidR="00DB2790" w:rsidRPr="00CE3541" w:rsidRDefault="00DB2790" w:rsidP="00DB2790">
      <w:pPr>
        <w:pStyle w:val="ListParagraph"/>
        <w:numPr>
          <w:ilvl w:val="0"/>
          <w:numId w:val="12"/>
        </w:numPr>
      </w:pPr>
      <w:r w:rsidRPr="00CE3541">
        <w:t>The “Repetition number” field in DCI Format N1 is utilized to indicate the TBS indices for 16-QAM in DL when the reserved state in MCS field is indicated.</w:t>
      </w:r>
    </w:p>
    <w:p w14:paraId="62F46442" w14:textId="77777777" w:rsidR="00DB2790" w:rsidRPr="00CE3541" w:rsidRDefault="00DB2790" w:rsidP="00DB2790">
      <w:pPr>
        <w:pStyle w:val="ListParagraph"/>
        <w:numPr>
          <w:ilvl w:val="0"/>
          <w:numId w:val="12"/>
        </w:numPr>
      </w:pPr>
      <w:r w:rsidRPr="00CE3541">
        <w:t>FFS: The manner of distinguishing the different ranges of TBS indices for “Stand-alone/Guard-band” (i.e., I_TBS indices from 14 to 21) and “In-band” (i.e., I_TBS indices from 11 to 17) deployments.</w:t>
      </w:r>
    </w:p>
    <w:p w14:paraId="54B73017" w14:textId="77777777" w:rsidR="00DB2790" w:rsidRPr="00CE3541" w:rsidRDefault="00DB2790" w:rsidP="00DB2790"/>
    <w:p w14:paraId="12BCB35B" w14:textId="77777777" w:rsidR="00DB2790" w:rsidRPr="00CE3541" w:rsidRDefault="00DB2790" w:rsidP="00DB2790">
      <w:pPr>
        <w:pStyle w:val="Caption"/>
        <w:spacing w:before="0" w:after="0"/>
        <w:rPr>
          <w:rFonts w:ascii="Times" w:hAnsi="Times" w:cs="Times"/>
          <w:b w:val="0"/>
          <w:highlight w:val="darkYellow"/>
        </w:rPr>
      </w:pPr>
      <w:r w:rsidRPr="00CE3541">
        <w:rPr>
          <w:rFonts w:ascii="Times" w:hAnsi="Times" w:cs="Times"/>
          <w:b w:val="0"/>
          <w:highlight w:val="darkYellow"/>
        </w:rPr>
        <w:t>Working Assumption</w:t>
      </w:r>
    </w:p>
    <w:p w14:paraId="6C396B18" w14:textId="77777777" w:rsidR="00DB2790" w:rsidRPr="00CE3541" w:rsidRDefault="00DB2790" w:rsidP="00DB2790">
      <w:pPr>
        <w:pStyle w:val="Caption"/>
        <w:spacing w:before="0" w:after="0"/>
        <w:rPr>
          <w:rFonts w:ascii="Times" w:hAnsi="Times" w:cs="Times"/>
          <w:b w:val="0"/>
        </w:rPr>
      </w:pPr>
      <w:r w:rsidRPr="00CE3541">
        <w:rPr>
          <w:rFonts w:ascii="Times" w:hAnsi="Times" w:cs="Times"/>
          <w:b w:val="0"/>
        </w:rPr>
        <w:lastRenderedPageBreak/>
        <w:t>For downlink power allocation to support 16QAM:</w:t>
      </w:r>
    </w:p>
    <w:p w14:paraId="71CE6B08" w14:textId="77777777" w:rsidR="00DB2790" w:rsidRPr="00CE3541" w:rsidRDefault="00DB2790" w:rsidP="00DB2790">
      <w:pPr>
        <w:pStyle w:val="ListParagraph"/>
        <w:numPr>
          <w:ilvl w:val="0"/>
          <w:numId w:val="14"/>
        </w:numPr>
        <w:overflowPunct/>
        <w:autoSpaceDE/>
        <w:autoSpaceDN/>
        <w:adjustRightInd/>
        <w:spacing w:after="0"/>
        <w:contextualSpacing w:val="0"/>
        <w:jc w:val="both"/>
        <w:textAlignment w:val="auto"/>
        <w:rPr>
          <w:rFonts w:cs="Times"/>
        </w:rPr>
      </w:pPr>
      <w:r w:rsidRPr="00CE3541">
        <w:rPr>
          <w:rFonts w:cs="Times"/>
        </w:rPr>
        <w:t>For standalone and guard-band deployments:</w:t>
      </w:r>
    </w:p>
    <w:p w14:paraId="16ED00BA" w14:textId="77777777" w:rsidR="00DB2790" w:rsidRPr="00CE3541" w:rsidRDefault="00DB2790" w:rsidP="00DB2790">
      <w:pPr>
        <w:pStyle w:val="ListParagraph"/>
        <w:numPr>
          <w:ilvl w:val="1"/>
          <w:numId w:val="14"/>
        </w:numPr>
        <w:overflowPunct/>
        <w:autoSpaceDE/>
        <w:autoSpaceDN/>
        <w:adjustRightInd/>
        <w:spacing w:after="0"/>
        <w:contextualSpacing w:val="0"/>
        <w:jc w:val="both"/>
        <w:textAlignment w:val="auto"/>
        <w:rPr>
          <w:rFonts w:cs="Times"/>
        </w:rPr>
      </w:pPr>
      <w:r w:rsidRPr="00CE3541">
        <w:rPr>
          <w:rFonts w:cs="Times"/>
        </w:rPr>
        <w:t xml:space="preserve">One power ratio is </w:t>
      </w:r>
      <w:proofErr w:type="spellStart"/>
      <w:r w:rsidRPr="00CE3541">
        <w:rPr>
          <w:rFonts w:cs="Times"/>
        </w:rPr>
        <w:t>signaled</w:t>
      </w:r>
      <w:proofErr w:type="spellEnd"/>
      <w:r w:rsidRPr="00CE3541">
        <w:rPr>
          <w:rFonts w:cs="Times"/>
        </w:rPr>
        <w:t xml:space="preserve"> optionally</w:t>
      </w:r>
    </w:p>
    <w:p w14:paraId="1D41ABED" w14:textId="77777777" w:rsidR="00DB2790" w:rsidRPr="00CE3541" w:rsidRDefault="00DB2790" w:rsidP="00DB2790">
      <w:pPr>
        <w:pStyle w:val="ListParagraph"/>
        <w:numPr>
          <w:ilvl w:val="2"/>
          <w:numId w:val="14"/>
        </w:numPr>
        <w:overflowPunct/>
        <w:autoSpaceDE/>
        <w:autoSpaceDN/>
        <w:adjustRightInd/>
        <w:spacing w:after="0"/>
        <w:contextualSpacing w:val="0"/>
        <w:jc w:val="both"/>
        <w:textAlignment w:val="auto"/>
        <w:rPr>
          <w:rFonts w:cs="Times"/>
        </w:rPr>
      </w:pPr>
      <w:r w:rsidRPr="00CE3541">
        <w:rPr>
          <w:rFonts w:cs="Times"/>
        </w:rPr>
        <w:t>NPDSCH EPRE to NRS EPRE in symbols without NRS</w:t>
      </w:r>
    </w:p>
    <w:p w14:paraId="7B6D5A17" w14:textId="77777777" w:rsidR="00DB2790" w:rsidRPr="00CE3541" w:rsidRDefault="00DB2790" w:rsidP="00DB2790">
      <w:pPr>
        <w:pStyle w:val="ListParagraph"/>
        <w:numPr>
          <w:ilvl w:val="1"/>
          <w:numId w:val="14"/>
        </w:numPr>
        <w:overflowPunct/>
        <w:autoSpaceDE/>
        <w:autoSpaceDN/>
        <w:adjustRightInd/>
        <w:spacing w:after="0"/>
        <w:contextualSpacing w:val="0"/>
        <w:jc w:val="both"/>
        <w:textAlignment w:val="auto"/>
        <w:rPr>
          <w:rFonts w:cs="Times"/>
        </w:rPr>
      </w:pPr>
      <w:r w:rsidRPr="00CE3541">
        <w:rPr>
          <w:rFonts w:cs="Times"/>
        </w:rPr>
        <w:t>The same transmit power is assumed across different symbols.</w:t>
      </w:r>
    </w:p>
    <w:p w14:paraId="2D2630FF" w14:textId="77777777" w:rsidR="00DB2790" w:rsidRPr="00CE3541" w:rsidRDefault="00DB2790" w:rsidP="00DB2790">
      <w:pPr>
        <w:pStyle w:val="ListParagraph"/>
        <w:numPr>
          <w:ilvl w:val="1"/>
          <w:numId w:val="14"/>
        </w:numPr>
        <w:overflowPunct/>
        <w:autoSpaceDE/>
        <w:autoSpaceDN/>
        <w:adjustRightInd/>
        <w:spacing w:after="0"/>
        <w:contextualSpacing w:val="0"/>
        <w:jc w:val="both"/>
        <w:textAlignment w:val="auto"/>
        <w:rPr>
          <w:rFonts w:cs="Times"/>
        </w:rPr>
      </w:pPr>
      <w:r w:rsidRPr="00CE3541">
        <w:rPr>
          <w:rFonts w:cs="Times"/>
        </w:rPr>
        <w:t>If the signalling is not indicated, the legacy power allocation is used.</w:t>
      </w:r>
    </w:p>
    <w:p w14:paraId="2D327E3B" w14:textId="77777777" w:rsidR="00DB2790" w:rsidRPr="00CE3541" w:rsidRDefault="00DB2790" w:rsidP="00DB2790">
      <w:pPr>
        <w:pStyle w:val="ListParagraph"/>
        <w:numPr>
          <w:ilvl w:val="2"/>
          <w:numId w:val="14"/>
        </w:numPr>
        <w:overflowPunct/>
        <w:autoSpaceDE/>
        <w:autoSpaceDN/>
        <w:adjustRightInd/>
        <w:spacing w:after="0"/>
        <w:contextualSpacing w:val="0"/>
        <w:jc w:val="both"/>
        <w:textAlignment w:val="auto"/>
        <w:rPr>
          <w:rFonts w:cs="Times"/>
        </w:rPr>
      </w:pPr>
      <w:r w:rsidRPr="00CE3541">
        <w:rPr>
          <w:rFonts w:cs="Times"/>
        </w:rPr>
        <w:t>i.e., the ratio of NPDSCH EPRE to NRS EPRE is 0dB for one NRS antenna port, and -3dB for two NRS antenna ports</w:t>
      </w:r>
    </w:p>
    <w:p w14:paraId="05215DE0" w14:textId="77777777" w:rsidR="00DB2790" w:rsidRPr="00CE3541" w:rsidRDefault="00DB2790" w:rsidP="00DB2790">
      <w:pPr>
        <w:pStyle w:val="ListParagraph"/>
        <w:numPr>
          <w:ilvl w:val="0"/>
          <w:numId w:val="14"/>
        </w:numPr>
        <w:overflowPunct/>
        <w:autoSpaceDE/>
        <w:autoSpaceDN/>
        <w:adjustRightInd/>
        <w:spacing w:after="0"/>
        <w:contextualSpacing w:val="0"/>
        <w:jc w:val="both"/>
        <w:textAlignment w:val="auto"/>
        <w:rPr>
          <w:rFonts w:cs="Times"/>
        </w:rPr>
      </w:pPr>
      <w:r w:rsidRPr="00CE3541">
        <w:rPr>
          <w:rFonts w:cs="Times"/>
        </w:rPr>
        <w:t>UE specific signalling is used</w:t>
      </w:r>
    </w:p>
    <w:p w14:paraId="6C1B15F1" w14:textId="77777777" w:rsidR="00DB2790" w:rsidRPr="00CE3541" w:rsidRDefault="00DB2790" w:rsidP="00DB2790">
      <w:pPr>
        <w:rPr>
          <w:rFonts w:cs="Times"/>
          <w:lang w:eastAsia="x-none"/>
        </w:rPr>
      </w:pPr>
    </w:p>
    <w:p w14:paraId="6625A7E6" w14:textId="77777777" w:rsidR="00DB2790" w:rsidRPr="00CE3541" w:rsidRDefault="00DB2790" w:rsidP="00DB2790">
      <w:pPr>
        <w:pStyle w:val="Caption"/>
        <w:spacing w:before="0" w:after="0"/>
        <w:rPr>
          <w:rFonts w:ascii="Times" w:hAnsi="Times" w:cs="Times"/>
          <w:b w:val="0"/>
          <w:highlight w:val="green"/>
        </w:rPr>
      </w:pPr>
      <w:r w:rsidRPr="00CE3541">
        <w:rPr>
          <w:rFonts w:ascii="Times" w:hAnsi="Times" w:cs="Times"/>
          <w:b w:val="0"/>
          <w:highlight w:val="green"/>
        </w:rPr>
        <w:t>Agreement</w:t>
      </w:r>
    </w:p>
    <w:p w14:paraId="4DA70B61" w14:textId="77777777" w:rsidR="00DB2790" w:rsidRPr="00CE3541" w:rsidRDefault="00DB2790" w:rsidP="00DB2790">
      <w:pPr>
        <w:pStyle w:val="ListParagraph"/>
        <w:numPr>
          <w:ilvl w:val="0"/>
          <w:numId w:val="15"/>
        </w:numPr>
      </w:pPr>
      <w:r w:rsidRPr="00CE3541">
        <w:t>Introduce a new term in uplink power control of NPUSCH using 16-QAM. FFS on the details.</w:t>
      </w:r>
    </w:p>
    <w:p w14:paraId="1C6C6680" w14:textId="77777777" w:rsidR="00DB2790" w:rsidRPr="00CE3541" w:rsidRDefault="00DB2790" w:rsidP="00DB2790">
      <w:pPr>
        <w:pStyle w:val="Caption"/>
        <w:spacing w:before="0" w:after="0"/>
        <w:rPr>
          <w:rFonts w:ascii="Times" w:hAnsi="Times" w:cs="Times"/>
          <w:b w:val="0"/>
          <w:highlight w:val="green"/>
        </w:rPr>
      </w:pPr>
      <w:r w:rsidRPr="00CE3541">
        <w:rPr>
          <w:rFonts w:ascii="Times" w:hAnsi="Times" w:cs="Times"/>
          <w:b w:val="0"/>
          <w:highlight w:val="green"/>
        </w:rPr>
        <w:t>Agreement</w:t>
      </w:r>
    </w:p>
    <w:p w14:paraId="05A50350" w14:textId="77777777" w:rsidR="00DB2790" w:rsidRPr="00CE3541" w:rsidRDefault="00DB2790" w:rsidP="00DB2790">
      <w:pPr>
        <w:pStyle w:val="ListParagraph"/>
        <w:numPr>
          <w:ilvl w:val="0"/>
          <w:numId w:val="15"/>
        </w:numPr>
      </w:pPr>
      <w:r w:rsidRPr="00CE3541">
        <w:t>When configured with downlink 16-QAM, the channel quality can be reported in MAC CE.</w:t>
      </w:r>
    </w:p>
    <w:p w14:paraId="267CBA21" w14:textId="77777777" w:rsidR="00DB2790" w:rsidRPr="00CE3541" w:rsidRDefault="00DB2790" w:rsidP="00DB2790">
      <w:pPr>
        <w:pStyle w:val="ListParagraph"/>
        <w:numPr>
          <w:ilvl w:val="1"/>
          <w:numId w:val="15"/>
        </w:numPr>
      </w:pPr>
      <w:r w:rsidRPr="00CE3541">
        <w:t>FFS on support in Msg3 in connected mode</w:t>
      </w:r>
    </w:p>
    <w:p w14:paraId="19FD41F5" w14:textId="77777777" w:rsidR="00DB2790" w:rsidRPr="00CE3541" w:rsidRDefault="00DB2790" w:rsidP="00DB2790">
      <w:pPr>
        <w:rPr>
          <w:rFonts w:cs="Times"/>
          <w:lang w:eastAsia="x-none"/>
        </w:rPr>
      </w:pPr>
    </w:p>
    <w:p w14:paraId="44452550" w14:textId="77777777" w:rsidR="00DB2790" w:rsidRPr="00CE3541" w:rsidRDefault="00DB2790" w:rsidP="00DB2790">
      <w:pPr>
        <w:rPr>
          <w:highlight w:val="green"/>
        </w:rPr>
      </w:pPr>
      <w:r w:rsidRPr="00CE3541">
        <w:rPr>
          <w:highlight w:val="green"/>
        </w:rPr>
        <w:t>Agreement</w:t>
      </w:r>
    </w:p>
    <w:p w14:paraId="2BB53F83" w14:textId="77777777" w:rsidR="00DB2790" w:rsidRPr="00CE3541" w:rsidRDefault="00DB2790" w:rsidP="00DB2790">
      <w:r w:rsidRPr="00CE3541">
        <w:t>On the indication of downlink 16-QAM, when the reserved state in MCS field is indicated, the “Repetition number” field in DCI Format N1 is utilized to indicate the TBS indices</w:t>
      </w:r>
    </w:p>
    <w:p w14:paraId="63524913" w14:textId="77777777" w:rsidR="00DB2790" w:rsidRPr="00CE3541" w:rsidRDefault="00DB2790" w:rsidP="00DB2790">
      <w:pPr>
        <w:pStyle w:val="ListParagraph"/>
        <w:numPr>
          <w:ilvl w:val="0"/>
          <w:numId w:val="15"/>
        </w:numPr>
      </w:pPr>
      <w:r w:rsidRPr="00CE3541">
        <w:t>From 14 to 21 for standalone/</w:t>
      </w:r>
      <w:proofErr w:type="spellStart"/>
      <w:r w:rsidRPr="00CE3541">
        <w:t>guardband</w:t>
      </w:r>
      <w:proofErr w:type="spellEnd"/>
      <w:r w:rsidRPr="00CE3541">
        <w:t xml:space="preserve"> deployments,</w:t>
      </w:r>
    </w:p>
    <w:p w14:paraId="66CA387D" w14:textId="77777777" w:rsidR="00DB2790" w:rsidRPr="00CE3541" w:rsidRDefault="00DB2790" w:rsidP="00DB2790">
      <w:pPr>
        <w:pStyle w:val="ListParagraph"/>
        <w:numPr>
          <w:ilvl w:val="0"/>
          <w:numId w:val="15"/>
        </w:numPr>
      </w:pPr>
      <w:r w:rsidRPr="00CE3541">
        <w:t xml:space="preserve">From 11 to 17 for </w:t>
      </w:r>
      <w:proofErr w:type="spellStart"/>
      <w:r w:rsidRPr="00CE3541">
        <w:t>inband</w:t>
      </w:r>
      <w:proofErr w:type="spellEnd"/>
      <w:r w:rsidRPr="00CE3541">
        <w:t xml:space="preserve"> deployment. </w:t>
      </w:r>
    </w:p>
    <w:p w14:paraId="76E60466" w14:textId="77777777" w:rsidR="00DB2790" w:rsidRPr="00CE3541" w:rsidRDefault="00DB2790" w:rsidP="00DB2790">
      <w:pPr>
        <w:pStyle w:val="ListParagraph"/>
        <w:numPr>
          <w:ilvl w:val="0"/>
          <w:numId w:val="15"/>
        </w:numPr>
      </w:pPr>
      <w:r w:rsidRPr="00CE3541">
        <w:t>FFS: How UE distinguishes the deployment</w:t>
      </w:r>
    </w:p>
    <w:p w14:paraId="7143B9F5" w14:textId="77777777" w:rsidR="00DB2790" w:rsidRPr="00CE3541" w:rsidRDefault="00DB2790" w:rsidP="00DB2790">
      <w:pPr>
        <w:rPr>
          <w:rFonts w:cs="Times"/>
          <w:lang w:eastAsia="x-none"/>
        </w:rPr>
      </w:pPr>
    </w:p>
    <w:p w14:paraId="6AECFEBA" w14:textId="77777777" w:rsidR="00DB2790" w:rsidRPr="00CE3541" w:rsidRDefault="00DB2790" w:rsidP="00DB2790">
      <w:pPr>
        <w:rPr>
          <w:highlight w:val="darkYellow"/>
        </w:rPr>
      </w:pPr>
      <w:r w:rsidRPr="00CE3541">
        <w:rPr>
          <w:highlight w:val="darkYellow"/>
        </w:rPr>
        <w:t>Working Assumption</w:t>
      </w:r>
    </w:p>
    <w:p w14:paraId="20F51571" w14:textId="77777777" w:rsidR="00DB2790" w:rsidRPr="00CE3541" w:rsidRDefault="00DB2790" w:rsidP="00DB2790">
      <w:pPr>
        <w:rPr>
          <w:lang w:eastAsia="zh-CN"/>
        </w:rPr>
      </w:pPr>
      <w:r w:rsidRPr="00CE3541">
        <w:t>For the indication of 16-QAM in uplink</w:t>
      </w:r>
    </w:p>
    <w:p w14:paraId="75444ADE" w14:textId="77777777" w:rsidR="00DB2790" w:rsidRPr="00CE3541" w:rsidRDefault="00DB2790" w:rsidP="00DB2790">
      <w:pPr>
        <w:pStyle w:val="ListParagraph"/>
        <w:numPr>
          <w:ilvl w:val="0"/>
          <w:numId w:val="16"/>
        </w:numPr>
        <w:rPr>
          <w:lang w:eastAsia="zh-CN"/>
        </w:rPr>
      </w:pPr>
      <w:r w:rsidRPr="00CE3541">
        <w:rPr>
          <w:lang w:eastAsia="zh-CN"/>
        </w:rPr>
        <w:t>The “Modulation and coding scheme” field in DCI Format N0 is utilized as in legacy for scheduling QPSK.</w:t>
      </w:r>
    </w:p>
    <w:p w14:paraId="57F9170A" w14:textId="77777777" w:rsidR="00DB2790" w:rsidRPr="00CE3541" w:rsidRDefault="00DB2790" w:rsidP="00DB2790">
      <w:pPr>
        <w:pStyle w:val="ListParagraph"/>
        <w:numPr>
          <w:ilvl w:val="0"/>
          <w:numId w:val="16"/>
        </w:numPr>
        <w:rPr>
          <w:lang w:eastAsia="zh-CN"/>
        </w:rPr>
      </w:pPr>
      <w:r w:rsidRPr="00CE3541">
        <w:rPr>
          <w:lang w:eastAsia="zh-CN"/>
        </w:rPr>
        <w:t>One reserved state in the “Modulation and coding scheme” field in DCI Format N0 is utilized to indicate the use of 16QAM.</w:t>
      </w:r>
    </w:p>
    <w:p w14:paraId="09F5C629" w14:textId="77777777" w:rsidR="00DB2790" w:rsidRPr="00CE3541" w:rsidRDefault="00DB2790" w:rsidP="00DB2790">
      <w:pPr>
        <w:pStyle w:val="ListParagraph"/>
        <w:numPr>
          <w:ilvl w:val="0"/>
          <w:numId w:val="16"/>
        </w:numPr>
        <w:rPr>
          <w:lang w:eastAsia="zh-CN"/>
        </w:rPr>
      </w:pPr>
      <w:r w:rsidRPr="00CE3541">
        <w:t>The “Repetition number” field in DCI Format N0 is utilized to indicate the TBS indices (i.e., I_TBS indices from 14 to 21) for 16-QAM in UL.</w:t>
      </w:r>
    </w:p>
    <w:p w14:paraId="34BFB91C" w14:textId="77777777" w:rsidR="00DB2790" w:rsidRPr="00CE3541" w:rsidRDefault="00DB2790" w:rsidP="00DB2790">
      <w:pPr>
        <w:pStyle w:val="NormalWeb"/>
        <w:spacing w:before="0" w:beforeAutospacing="0" w:after="0" w:afterAutospacing="0"/>
        <w:rPr>
          <w:rFonts w:ascii="Times" w:hAnsi="Times" w:cs="Times"/>
          <w:highlight w:val="green"/>
          <w:lang w:val="sv-SE"/>
        </w:rPr>
      </w:pPr>
      <w:r w:rsidRPr="00CE3541">
        <w:rPr>
          <w:rFonts w:ascii="Times" w:hAnsi="Times" w:cs="Times"/>
          <w:highlight w:val="green"/>
          <w:lang w:val="sv-SE"/>
        </w:rPr>
        <w:t>Agreement</w:t>
      </w:r>
    </w:p>
    <w:p w14:paraId="3A2D3313" w14:textId="77777777" w:rsidR="00DB2790" w:rsidRPr="00CE3541" w:rsidRDefault="00DB2790" w:rsidP="00DB2790">
      <w:pPr>
        <w:pStyle w:val="NormalWeb"/>
        <w:spacing w:before="0" w:beforeAutospacing="0" w:after="0" w:afterAutospacing="0"/>
        <w:rPr>
          <w:rFonts w:ascii="Times" w:hAnsi="Times" w:cs="Times"/>
          <w:sz w:val="20"/>
          <w:szCs w:val="20"/>
          <w:lang w:val="sv-SE"/>
        </w:rPr>
      </w:pPr>
      <w:r w:rsidRPr="00CE3541">
        <w:rPr>
          <w:rFonts w:ascii="Times" w:hAnsi="Times" w:cs="Times"/>
          <w:sz w:val="20"/>
          <w:szCs w:val="20"/>
          <w:lang w:val="sv-SE"/>
        </w:rPr>
        <w:t>For CQI table for downlink 16-QAM, down-select between following options in RAN1#106-e:</w:t>
      </w:r>
    </w:p>
    <w:p w14:paraId="730D39D0" w14:textId="77777777" w:rsidR="00DB2790" w:rsidRPr="00CE3541" w:rsidRDefault="00DB2790" w:rsidP="00DB2790">
      <w:pPr>
        <w:pStyle w:val="ListParagraph"/>
        <w:numPr>
          <w:ilvl w:val="0"/>
          <w:numId w:val="17"/>
        </w:numPr>
        <w:rPr>
          <w:lang w:eastAsia="zh-CN"/>
        </w:rPr>
      </w:pPr>
      <w:r w:rsidRPr="00CE3541">
        <w:rPr>
          <w:lang w:eastAsia="zh-CN"/>
        </w:rPr>
        <w:t>Option 1: More than three candidate values for 16-QAM are added in the legacy table.</w:t>
      </w:r>
    </w:p>
    <w:p w14:paraId="5D6FDF91" w14:textId="77777777" w:rsidR="00DB2790" w:rsidRPr="00CE3541" w:rsidRDefault="00DB2790" w:rsidP="00DB2790">
      <w:pPr>
        <w:pStyle w:val="ListParagraph"/>
        <w:numPr>
          <w:ilvl w:val="1"/>
          <w:numId w:val="17"/>
        </w:numPr>
        <w:rPr>
          <w:lang w:eastAsia="zh-CN"/>
        </w:rPr>
      </w:pPr>
      <w:r w:rsidRPr="00CE3541">
        <w:rPr>
          <w:lang w:eastAsia="zh-CN"/>
        </w:rPr>
        <w:t>FFS: Which of the legacy entries are removed</w:t>
      </w:r>
    </w:p>
    <w:p w14:paraId="27E09305" w14:textId="77777777" w:rsidR="00DB2790" w:rsidRPr="00CE3541" w:rsidRDefault="00DB2790" w:rsidP="00DB2790">
      <w:pPr>
        <w:pStyle w:val="ListParagraph"/>
        <w:numPr>
          <w:ilvl w:val="0"/>
          <w:numId w:val="17"/>
        </w:numPr>
        <w:rPr>
          <w:lang w:eastAsia="zh-CN"/>
        </w:rPr>
      </w:pPr>
      <w:r w:rsidRPr="00CE3541">
        <w:rPr>
          <w:lang w:eastAsia="zh-CN"/>
        </w:rPr>
        <w:t>Option 2: Three candidate values for 16-QAM are added in the legacy table.</w:t>
      </w:r>
    </w:p>
    <w:p w14:paraId="6D74FC62" w14:textId="77777777" w:rsidR="00DB2790" w:rsidRPr="00CE3541" w:rsidRDefault="00DB2790" w:rsidP="00DB2790">
      <w:pPr>
        <w:pStyle w:val="ListParagraph"/>
        <w:numPr>
          <w:ilvl w:val="0"/>
          <w:numId w:val="17"/>
        </w:numPr>
        <w:rPr>
          <w:lang w:eastAsia="zh-CN"/>
        </w:rPr>
      </w:pPr>
      <w:r w:rsidRPr="00CE3541">
        <w:rPr>
          <w:lang w:eastAsia="zh-CN"/>
        </w:rPr>
        <w:t xml:space="preserve">Option 3: A new CQI table is defined for 16-QAM based on the </w:t>
      </w:r>
      <w:proofErr w:type="spellStart"/>
      <w:r w:rsidRPr="00CE3541">
        <w:rPr>
          <w:lang w:eastAsia="zh-CN"/>
        </w:rPr>
        <w:t>eMTC</w:t>
      </w:r>
      <w:proofErr w:type="spellEnd"/>
      <w:r w:rsidRPr="00CE3541">
        <w:rPr>
          <w:lang w:eastAsia="zh-CN"/>
        </w:rPr>
        <w:t xml:space="preserve"> table (CQI Tables in 36.213) as a starting point</w:t>
      </w:r>
    </w:p>
    <w:p w14:paraId="3C032613" w14:textId="77777777" w:rsidR="00DB2790" w:rsidRPr="00CE3541" w:rsidRDefault="00DB2790" w:rsidP="00DB2790">
      <w:pPr>
        <w:shd w:val="clear" w:color="auto" w:fill="FFFFFF"/>
        <w:rPr>
          <w:highlight w:val="green"/>
          <w:lang w:eastAsia="zh-CN"/>
        </w:rPr>
      </w:pPr>
      <w:r w:rsidRPr="00CE3541">
        <w:rPr>
          <w:highlight w:val="green"/>
          <w:lang w:eastAsia="zh-CN"/>
        </w:rPr>
        <w:t>Agreement</w:t>
      </w:r>
    </w:p>
    <w:p w14:paraId="5FD88516" w14:textId="77777777" w:rsidR="00DB2790" w:rsidRPr="00CE3541" w:rsidRDefault="00DB2790" w:rsidP="00DB2790">
      <w:pPr>
        <w:shd w:val="clear" w:color="auto" w:fill="FFFFFF"/>
        <w:rPr>
          <w:lang w:eastAsia="zh-CN"/>
        </w:rPr>
      </w:pPr>
      <w:r w:rsidRPr="00CE3541">
        <w:rPr>
          <w:lang w:eastAsia="zh-CN"/>
        </w:rPr>
        <w:t>For downlink power allocation to support 16QAM:</w:t>
      </w:r>
    </w:p>
    <w:p w14:paraId="10768333" w14:textId="77777777" w:rsidR="00DB2790" w:rsidRPr="00CE3541" w:rsidRDefault="00DB2790" w:rsidP="00DB2790">
      <w:pPr>
        <w:numPr>
          <w:ilvl w:val="0"/>
          <w:numId w:val="18"/>
        </w:numPr>
        <w:spacing w:after="0"/>
        <w:rPr>
          <w:rFonts w:cs="Times"/>
          <w:lang w:eastAsia="zh-CN"/>
        </w:rPr>
      </w:pPr>
      <w:r w:rsidRPr="00CE3541">
        <w:rPr>
          <w:rFonts w:cs="Times"/>
          <w:lang w:eastAsia="zh-CN"/>
        </w:rPr>
        <w:t xml:space="preserve">For </w:t>
      </w:r>
      <w:proofErr w:type="spellStart"/>
      <w:r w:rsidRPr="00CE3541">
        <w:rPr>
          <w:rFonts w:cs="Times"/>
          <w:lang w:eastAsia="zh-CN"/>
        </w:rPr>
        <w:t>inband</w:t>
      </w:r>
      <w:proofErr w:type="spellEnd"/>
      <w:r w:rsidRPr="00CE3541">
        <w:rPr>
          <w:rFonts w:cs="Times"/>
          <w:lang w:eastAsia="zh-CN"/>
        </w:rPr>
        <w:t xml:space="preserve"> deployments, a power ratio is </w:t>
      </w:r>
      <w:proofErr w:type="spellStart"/>
      <w:r w:rsidRPr="00CE3541">
        <w:rPr>
          <w:rFonts w:cs="Times"/>
          <w:lang w:eastAsia="zh-CN"/>
        </w:rPr>
        <w:t>signaled</w:t>
      </w:r>
      <w:proofErr w:type="spellEnd"/>
      <w:r w:rsidRPr="00CE3541">
        <w:rPr>
          <w:rFonts w:cs="Times"/>
          <w:lang w:eastAsia="zh-CN"/>
        </w:rPr>
        <w:t xml:space="preserve"> in addition to the signalling for standalone and guard-band deployments which in this case applies to “symbols with NRS” and “symbols without NRS nor CRS”. Down-select from the following options in RAN1#106-e: </w:t>
      </w:r>
    </w:p>
    <w:p w14:paraId="2D93E5B7" w14:textId="77777777" w:rsidR="00DB2790" w:rsidRPr="00CE3541" w:rsidRDefault="00DB2790" w:rsidP="00DB2790">
      <w:pPr>
        <w:numPr>
          <w:ilvl w:val="1"/>
          <w:numId w:val="18"/>
        </w:numPr>
        <w:spacing w:after="0"/>
        <w:rPr>
          <w:rFonts w:cs="Times"/>
          <w:lang w:eastAsia="zh-CN"/>
        </w:rPr>
      </w:pPr>
      <w:r w:rsidRPr="00CE3541">
        <w:rPr>
          <w:rFonts w:cs="Times"/>
          <w:lang w:eastAsia="zh-CN"/>
        </w:rPr>
        <w:t>Alt 1:</w:t>
      </w:r>
    </w:p>
    <w:p w14:paraId="1DE05B13" w14:textId="77777777" w:rsidR="00DB2790" w:rsidRPr="00CE3541" w:rsidRDefault="00DB2790" w:rsidP="00DB2790">
      <w:pPr>
        <w:numPr>
          <w:ilvl w:val="2"/>
          <w:numId w:val="18"/>
        </w:numPr>
        <w:spacing w:after="0"/>
        <w:rPr>
          <w:rFonts w:cs="Times"/>
          <w:lang w:eastAsia="zh-CN"/>
        </w:rPr>
      </w:pPr>
      <w:r w:rsidRPr="00CE3541">
        <w:rPr>
          <w:rFonts w:cs="Times"/>
          <w:lang w:eastAsia="zh-CN"/>
        </w:rPr>
        <w:t xml:space="preserve">The existing parameter </w:t>
      </w:r>
      <w:proofErr w:type="spellStart"/>
      <w:r w:rsidRPr="00CE3541">
        <w:rPr>
          <w:rFonts w:cs="Times"/>
          <w:lang w:eastAsia="zh-CN"/>
        </w:rPr>
        <w:t>nrs</w:t>
      </w:r>
      <w:proofErr w:type="spellEnd"/>
      <w:r w:rsidRPr="00CE3541">
        <w:rPr>
          <w:rFonts w:cs="Times"/>
          <w:lang w:eastAsia="zh-CN"/>
        </w:rPr>
        <w:t>-CRS-</w:t>
      </w:r>
      <w:proofErr w:type="spellStart"/>
      <w:r w:rsidRPr="00CE3541">
        <w:rPr>
          <w:rFonts w:cs="Times"/>
          <w:lang w:eastAsia="zh-CN"/>
        </w:rPr>
        <w:t>PowerOffset</w:t>
      </w:r>
      <w:proofErr w:type="spellEnd"/>
      <w:r w:rsidRPr="00CE3541">
        <w:rPr>
          <w:rFonts w:cs="Times"/>
          <w:lang w:eastAsia="zh-CN"/>
        </w:rPr>
        <w:t xml:space="preserve"> is reused for same PCI </w:t>
      </w:r>
      <w:proofErr w:type="gramStart"/>
      <w:r w:rsidRPr="00CE3541">
        <w:rPr>
          <w:rFonts w:cs="Times"/>
          <w:lang w:eastAsia="zh-CN"/>
        </w:rPr>
        <w:t>case, and</w:t>
      </w:r>
      <w:proofErr w:type="gramEnd"/>
      <w:r w:rsidRPr="00CE3541">
        <w:rPr>
          <w:rFonts w:cs="Times"/>
          <w:lang w:eastAsia="zh-CN"/>
        </w:rPr>
        <w:t xml:space="preserve"> is </w:t>
      </w:r>
      <w:proofErr w:type="spellStart"/>
      <w:r w:rsidRPr="00CE3541">
        <w:rPr>
          <w:rFonts w:cs="Times"/>
          <w:lang w:eastAsia="zh-CN"/>
        </w:rPr>
        <w:t>signaled</w:t>
      </w:r>
      <w:proofErr w:type="spellEnd"/>
      <w:r w:rsidRPr="00CE3541">
        <w:rPr>
          <w:lang w:eastAsia="zh-CN"/>
        </w:rPr>
        <w:t xml:space="preserve"> for different PCI case.</w:t>
      </w:r>
    </w:p>
    <w:p w14:paraId="4312A738" w14:textId="77777777" w:rsidR="00DB2790" w:rsidRPr="00CE3541" w:rsidRDefault="00DB2790" w:rsidP="00DB2790">
      <w:pPr>
        <w:numPr>
          <w:ilvl w:val="2"/>
          <w:numId w:val="18"/>
        </w:numPr>
        <w:spacing w:after="0"/>
        <w:rPr>
          <w:lang w:eastAsia="zh-CN"/>
        </w:rPr>
      </w:pPr>
      <w:r w:rsidRPr="00CE3541">
        <w:rPr>
          <w:lang w:eastAsia="zh-CN"/>
        </w:rPr>
        <w:t xml:space="preserve">The same transmit power of different symbols is assumed as to derive from </w:t>
      </w:r>
      <w:proofErr w:type="spellStart"/>
      <w:r w:rsidRPr="00CE3541">
        <w:rPr>
          <w:i/>
          <w:iCs/>
          <w:lang w:eastAsia="zh-CN"/>
        </w:rPr>
        <w:t>nrs</w:t>
      </w:r>
      <w:proofErr w:type="spellEnd"/>
      <w:r w:rsidRPr="00CE3541">
        <w:rPr>
          <w:i/>
          <w:iCs/>
          <w:lang w:eastAsia="zh-CN"/>
        </w:rPr>
        <w:t>-CRS-</w:t>
      </w:r>
      <w:proofErr w:type="spellStart"/>
      <w:r w:rsidRPr="00CE3541">
        <w:rPr>
          <w:i/>
          <w:iCs/>
          <w:lang w:eastAsia="zh-CN"/>
        </w:rPr>
        <w:t>PowerOffset</w:t>
      </w:r>
      <w:proofErr w:type="spellEnd"/>
      <w:r w:rsidRPr="00CE3541">
        <w:rPr>
          <w:lang w:eastAsia="zh-CN"/>
        </w:rPr>
        <w:t xml:space="preserve"> the NPDSCH EPRE in symbols with CRS.</w:t>
      </w:r>
    </w:p>
    <w:p w14:paraId="3DA5D57A" w14:textId="77777777" w:rsidR="00DB2790" w:rsidRPr="00CE3541" w:rsidRDefault="00DB2790" w:rsidP="00DB2790">
      <w:pPr>
        <w:numPr>
          <w:ilvl w:val="1"/>
          <w:numId w:val="18"/>
        </w:numPr>
        <w:spacing w:after="0"/>
        <w:rPr>
          <w:rFonts w:cs="Times"/>
          <w:lang w:eastAsia="zh-CN"/>
        </w:rPr>
      </w:pPr>
      <w:r w:rsidRPr="00CE3541">
        <w:rPr>
          <w:rFonts w:cs="Times"/>
          <w:lang w:eastAsia="zh-CN"/>
        </w:rPr>
        <w:t xml:space="preserve">Alt 2: </w:t>
      </w:r>
    </w:p>
    <w:p w14:paraId="1DFB83C3" w14:textId="77777777" w:rsidR="00DB2790" w:rsidRPr="00CE3541" w:rsidRDefault="00DB2790" w:rsidP="00DB2790">
      <w:pPr>
        <w:numPr>
          <w:ilvl w:val="2"/>
          <w:numId w:val="18"/>
        </w:numPr>
        <w:spacing w:after="0"/>
        <w:rPr>
          <w:lang w:eastAsia="zh-CN"/>
        </w:rPr>
      </w:pPr>
      <w:r w:rsidRPr="00CE3541">
        <w:rPr>
          <w:lang w:eastAsia="zh-CN"/>
        </w:rPr>
        <w:t xml:space="preserve">the power ratio between NPDSCH EPRE and NRS EPRE in symbols with CRS is </w:t>
      </w:r>
      <w:proofErr w:type="spellStart"/>
      <w:r w:rsidRPr="00CE3541">
        <w:rPr>
          <w:lang w:eastAsia="zh-CN"/>
        </w:rPr>
        <w:t>signaled</w:t>
      </w:r>
      <w:proofErr w:type="spellEnd"/>
    </w:p>
    <w:p w14:paraId="54FA8C88" w14:textId="77777777" w:rsidR="00DB2790" w:rsidRPr="00CE3541" w:rsidRDefault="00DB2790" w:rsidP="00DB2790">
      <w:pPr>
        <w:numPr>
          <w:ilvl w:val="1"/>
          <w:numId w:val="18"/>
        </w:numPr>
        <w:spacing w:after="0"/>
        <w:rPr>
          <w:rFonts w:cs="Times"/>
          <w:lang w:eastAsia="zh-CN"/>
        </w:rPr>
      </w:pPr>
      <w:r w:rsidRPr="00CE3541">
        <w:rPr>
          <w:rFonts w:cs="Times"/>
          <w:lang w:eastAsia="zh-CN"/>
        </w:rPr>
        <w:t>FFS: NPDSCH EPRE to NRS EPRE in symbols with NRS</w:t>
      </w:r>
    </w:p>
    <w:p w14:paraId="64AF9A4B" w14:textId="77E2D689" w:rsidR="00874392" w:rsidRPr="00DB2790" w:rsidRDefault="00DB2790" w:rsidP="006C1D96">
      <w:pPr>
        <w:rPr>
          <w:bCs/>
        </w:rPr>
      </w:pPr>
      <w:r w:rsidRPr="00CE3541">
        <w:rPr>
          <w:lang w:eastAsia="zh-CN"/>
        </w:rPr>
        <w:lastRenderedPageBreak/>
        <w:t>FFS: Whether UE specific or cell-specific or carrier-specific signalling is used.</w:t>
      </w:r>
    </w:p>
    <w:p w14:paraId="6A92D308" w14:textId="77777777" w:rsidR="00C44677" w:rsidRPr="004F68B1" w:rsidRDefault="00C44677" w:rsidP="006C1D96">
      <w:pPr>
        <w:rPr>
          <w:b/>
          <w:bCs/>
          <w:lang w:val="en-US"/>
        </w:rPr>
      </w:pPr>
    </w:p>
    <w:p w14:paraId="584AE4E6" w14:textId="1FBA8E7D" w:rsidR="00874392" w:rsidRPr="004F68B1" w:rsidRDefault="00874392" w:rsidP="00874392">
      <w:pPr>
        <w:pStyle w:val="Heading1"/>
        <w:numPr>
          <w:ilvl w:val="0"/>
          <w:numId w:val="1"/>
        </w:numPr>
        <w:tabs>
          <w:tab w:val="clear" w:pos="1140"/>
          <w:tab w:val="num" w:pos="720"/>
        </w:tabs>
        <w:ind w:left="720" w:hanging="720"/>
        <w:jc w:val="both"/>
        <w:rPr>
          <w:lang w:val="en-US"/>
        </w:rPr>
      </w:pPr>
      <w:r w:rsidRPr="004F68B1">
        <w:rPr>
          <w:lang w:val="en-US"/>
        </w:rPr>
        <w:t>Downlink aspects</w:t>
      </w:r>
    </w:p>
    <w:p w14:paraId="27BE1B25" w14:textId="5755BB69" w:rsidR="00874392" w:rsidRPr="004F68B1" w:rsidRDefault="00874392" w:rsidP="00874392">
      <w:pPr>
        <w:pStyle w:val="Style2"/>
        <w:numPr>
          <w:ilvl w:val="1"/>
          <w:numId w:val="1"/>
        </w:numPr>
        <w:rPr>
          <w:lang w:val="en-US"/>
        </w:rPr>
      </w:pPr>
      <w:r w:rsidRPr="004F68B1">
        <w:rPr>
          <w:lang w:val="en-US"/>
        </w:rPr>
        <w:t>Rules of applicability</w:t>
      </w:r>
    </w:p>
    <w:p w14:paraId="7580B4B2" w14:textId="34EAE5DC" w:rsidR="00C93F67" w:rsidRPr="004F68B1" w:rsidRDefault="00ED6A14" w:rsidP="00874392">
      <w:pPr>
        <w:rPr>
          <w:lang w:val="en-US"/>
        </w:rPr>
      </w:pPr>
      <w:r w:rsidRPr="004F68B1">
        <w:rPr>
          <w:lang w:val="en-US"/>
        </w:rPr>
        <w:br/>
      </w:r>
      <w:r w:rsidR="00C93F67" w:rsidRPr="004F68B1">
        <w:rPr>
          <w:lang w:val="en-US"/>
        </w:rPr>
        <w:t xml:space="preserve">For PUR, it is technically possible to support 16-QAM for DL (by including a corresponding flag in </w:t>
      </w:r>
      <w:r w:rsidR="00C93F67" w:rsidRPr="004F68B1">
        <w:rPr>
          <w:i/>
          <w:iCs/>
          <w:lang w:val="en-US"/>
        </w:rPr>
        <w:t>PUR-Config</w:t>
      </w:r>
      <w:r w:rsidR="00C93F67" w:rsidRPr="004F68B1">
        <w:rPr>
          <w:lang w:val="en-US"/>
        </w:rPr>
        <w:t xml:space="preserve">), but its usefulness is expected to be reduced. Thus, we propose to not support DL 16-QAM during PUR. Note that is </w:t>
      </w:r>
      <w:proofErr w:type="gramStart"/>
      <w:r w:rsidR="00C93F67" w:rsidRPr="004F68B1">
        <w:rPr>
          <w:lang w:val="en-US"/>
        </w:rPr>
        <w:t>similar to</w:t>
      </w:r>
      <w:proofErr w:type="gramEnd"/>
      <w:r w:rsidR="00C93F67" w:rsidRPr="004F68B1">
        <w:rPr>
          <w:lang w:val="en-US"/>
        </w:rPr>
        <w:t xml:space="preserve"> the decision in Rel-16 </w:t>
      </w:r>
      <w:proofErr w:type="spellStart"/>
      <w:r w:rsidR="00C93F67" w:rsidRPr="004F68B1">
        <w:rPr>
          <w:lang w:val="en-US"/>
        </w:rPr>
        <w:t>eMTC</w:t>
      </w:r>
      <w:proofErr w:type="spellEnd"/>
      <w:r w:rsidR="00C93F67" w:rsidRPr="004F68B1">
        <w:rPr>
          <w:lang w:val="en-US"/>
        </w:rPr>
        <w:t xml:space="preserve"> of not supporting DL 64-QAM</w:t>
      </w:r>
      <w:r w:rsidR="009D4B19" w:rsidRPr="004F68B1">
        <w:rPr>
          <w:lang w:val="en-US"/>
        </w:rPr>
        <w:t xml:space="preserve"> during PUR</w:t>
      </w:r>
      <w:r w:rsidR="00C93F67" w:rsidRPr="004F68B1">
        <w:rPr>
          <w:lang w:val="en-US"/>
        </w:rPr>
        <w:t>.</w:t>
      </w:r>
    </w:p>
    <w:p w14:paraId="43A13D80" w14:textId="53D42884" w:rsidR="001D4791" w:rsidRPr="004F68B1" w:rsidRDefault="00C93F67" w:rsidP="00874392">
      <w:pPr>
        <w:rPr>
          <w:b/>
          <w:bCs/>
          <w:lang w:val="en-US"/>
        </w:rPr>
      </w:pPr>
      <w:r w:rsidRPr="004F68B1">
        <w:rPr>
          <w:b/>
          <w:bCs/>
          <w:u w:val="single"/>
          <w:lang w:val="en-US"/>
        </w:rPr>
        <w:t xml:space="preserve">Proposal </w:t>
      </w:r>
      <w:r w:rsidR="009D4B19" w:rsidRPr="004F68B1">
        <w:rPr>
          <w:b/>
          <w:bCs/>
          <w:u w:val="single"/>
          <w:lang w:val="en-US"/>
        </w:rPr>
        <w:t>1:</w:t>
      </w:r>
      <w:r w:rsidRPr="004F68B1">
        <w:rPr>
          <w:b/>
          <w:bCs/>
          <w:lang w:val="en-US"/>
        </w:rPr>
        <w:t xml:space="preserve"> Do not support DL 16-QAM during PUR procedure.</w:t>
      </w:r>
    </w:p>
    <w:p w14:paraId="04EB04A7" w14:textId="4AF2D9F1" w:rsidR="00972BE8" w:rsidRPr="004F68B1" w:rsidRDefault="00972BE8" w:rsidP="00874392">
      <w:pPr>
        <w:rPr>
          <w:lang w:val="en-US"/>
        </w:rPr>
      </w:pPr>
    </w:p>
    <w:p w14:paraId="61AF4CE9" w14:textId="52C11E3F" w:rsidR="00874392" w:rsidRPr="004F68B1" w:rsidRDefault="00874392" w:rsidP="00874392">
      <w:pPr>
        <w:pStyle w:val="Style2"/>
        <w:numPr>
          <w:ilvl w:val="1"/>
          <w:numId w:val="1"/>
        </w:numPr>
        <w:rPr>
          <w:lang w:val="en-US"/>
        </w:rPr>
      </w:pPr>
      <w:r w:rsidRPr="004F68B1">
        <w:rPr>
          <w:lang w:val="en-US"/>
        </w:rPr>
        <w:t>Downlink power allocation</w:t>
      </w:r>
    </w:p>
    <w:p w14:paraId="4847CE66" w14:textId="594A7C5E" w:rsidR="008F345D" w:rsidRPr="004F68B1" w:rsidRDefault="004456A9" w:rsidP="00874392">
      <w:pPr>
        <w:rPr>
          <w:lang w:val="en-US"/>
        </w:rPr>
      </w:pPr>
      <w:r w:rsidRPr="004F68B1">
        <w:rPr>
          <w:lang w:val="en-US"/>
        </w:rPr>
        <w:br/>
      </w:r>
      <w:r w:rsidR="0051448E" w:rsidRPr="004F68B1">
        <w:rPr>
          <w:lang w:val="en-US"/>
        </w:rPr>
        <w:t xml:space="preserve">In LTE, the mechanism for defining the power level </w:t>
      </w:r>
      <w:r w:rsidR="00FF3C1E" w:rsidRPr="004F68B1">
        <w:rPr>
          <w:lang w:val="en-US"/>
        </w:rPr>
        <w:t>for PDSCH has considered</w:t>
      </w:r>
      <w:r w:rsidR="0051448E" w:rsidRPr="004F68B1">
        <w:rPr>
          <w:lang w:val="en-US"/>
        </w:rPr>
        <w:t xml:space="preserve"> </w:t>
      </w:r>
      <w:r w:rsidR="00FF3C1E" w:rsidRPr="004F68B1">
        <w:rPr>
          <w:lang w:val="en-US"/>
        </w:rPr>
        <w:t xml:space="preserve">the impact of </w:t>
      </w:r>
      <w:r w:rsidR="0051448E" w:rsidRPr="004F68B1">
        <w:rPr>
          <w:lang w:val="en-US"/>
        </w:rPr>
        <w:t>a single type of reference signal</w:t>
      </w:r>
      <w:r w:rsidR="00FF3C1E" w:rsidRPr="004F68B1">
        <w:rPr>
          <w:lang w:val="en-US"/>
        </w:rPr>
        <w:t xml:space="preserve">, i.e., </w:t>
      </w:r>
      <w:r w:rsidR="0051448E" w:rsidRPr="004F68B1">
        <w:rPr>
          <w:lang w:val="en-US"/>
        </w:rPr>
        <w:t xml:space="preserve">CRS. LTE defined </w:t>
      </w:r>
      <w:r w:rsidR="00FF3C1E" w:rsidRPr="004F68B1">
        <w:rPr>
          <w:lang w:val="en-US"/>
        </w:rPr>
        <w:t xml:space="preserve">power parameters </w:t>
      </w:r>
      <m:oMath>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B</m:t>
            </m:r>
          </m:sub>
        </m:sSub>
      </m:oMath>
      <w:r w:rsidR="00FF3C1E" w:rsidRPr="004F68B1">
        <w:rPr>
          <w:lang w:val="en-US"/>
        </w:rPr>
        <w:t xml:space="preserve"> for </w:t>
      </w:r>
      <w:r w:rsidR="00F85BD3" w:rsidRPr="004F68B1">
        <w:rPr>
          <w:lang w:val="en-US"/>
        </w:rPr>
        <w:t xml:space="preserve">PDSCH in </w:t>
      </w:r>
      <w:r w:rsidR="00FF3C1E" w:rsidRPr="004F68B1">
        <w:rPr>
          <w:lang w:val="en-US"/>
        </w:rPr>
        <w:t xml:space="preserve">the two types of </w:t>
      </w:r>
      <w:r w:rsidR="0051448E" w:rsidRPr="004F68B1">
        <w:rPr>
          <w:lang w:val="en-US"/>
        </w:rPr>
        <w:t>symbols (symbols with</w:t>
      </w:r>
      <w:r w:rsidR="007130B5" w:rsidRPr="004F68B1">
        <w:rPr>
          <w:lang w:val="en-US"/>
        </w:rPr>
        <w:t>out</w:t>
      </w:r>
      <w:r w:rsidR="0051448E" w:rsidRPr="004F68B1">
        <w:rPr>
          <w:lang w:val="en-US"/>
        </w:rPr>
        <w:t xml:space="preserve"> CRS and symbols </w:t>
      </w:r>
      <w:r w:rsidR="007130B5" w:rsidRPr="004F68B1">
        <w:rPr>
          <w:lang w:val="en-US"/>
        </w:rPr>
        <w:t>with</w:t>
      </w:r>
      <w:r w:rsidR="0051448E" w:rsidRPr="004F68B1">
        <w:rPr>
          <w:lang w:val="en-US"/>
        </w:rPr>
        <w:t xml:space="preserve"> CRS)</w:t>
      </w:r>
      <w:r w:rsidR="00B84F3B" w:rsidRPr="004F68B1">
        <w:rPr>
          <w:lang w:val="en-US"/>
        </w:rPr>
        <w:t>, respectively</w:t>
      </w:r>
      <m:oMath>
        <m:r>
          <w:rPr>
            <w:rFonts w:ascii="Cambria Math" w:hAnsi="Cambria Math"/>
            <w:lang w:val="en-US"/>
          </w:rPr>
          <m:t>.</m:t>
        </m:r>
      </m:oMath>
      <w:r w:rsidR="0051448E" w:rsidRPr="004F68B1">
        <w:rPr>
          <w:lang w:val="en-US"/>
        </w:rPr>
        <w:t xml:space="preserve"> In NB-IoT, we need to define </w:t>
      </w:r>
      <w:r w:rsidR="007130B5" w:rsidRPr="004F68B1">
        <w:rPr>
          <w:lang w:val="en-US"/>
        </w:rPr>
        <w:t>three</w:t>
      </w:r>
      <w:r w:rsidR="00B84F3B" w:rsidRPr="004F68B1">
        <w:rPr>
          <w:lang w:val="en-US"/>
        </w:rPr>
        <w:t xml:space="preserve"> different</w:t>
      </w:r>
      <w:r w:rsidR="007130B5" w:rsidRPr="004F68B1">
        <w:rPr>
          <w:lang w:val="en-US"/>
        </w:rPr>
        <w:t xml:space="preserve"> power parameters</w:t>
      </w:r>
      <w:r w:rsidR="00FF3C1E" w:rsidRPr="004F68B1">
        <w:rPr>
          <w:lang w:val="en-US"/>
        </w:rPr>
        <w:t xml:space="preserve"> for </w:t>
      </w:r>
      <w:r w:rsidR="00F85BD3" w:rsidRPr="004F68B1">
        <w:rPr>
          <w:lang w:val="en-US"/>
        </w:rPr>
        <w:t xml:space="preserve">NPDSCH in the </w:t>
      </w:r>
      <w:r w:rsidR="00FF3C1E" w:rsidRPr="004F68B1">
        <w:rPr>
          <w:lang w:val="en-US"/>
        </w:rPr>
        <w:t>three types of symbols</w:t>
      </w:r>
      <w:r w:rsidR="007130B5" w:rsidRPr="004F68B1">
        <w:rPr>
          <w:lang w:val="en-US"/>
        </w:rPr>
        <w:t>, that we denote as follows:</w:t>
      </w:r>
    </w:p>
    <w:p w14:paraId="38363801" w14:textId="1C3484C3" w:rsidR="007130B5" w:rsidRPr="004F68B1" w:rsidRDefault="00B52D87" w:rsidP="00F93256">
      <w:pPr>
        <w:pStyle w:val="ListParagraph"/>
        <w:numPr>
          <w:ilvl w:val="0"/>
          <w:numId w:val="4"/>
        </w:numPr>
        <w:rPr>
          <w:lang w:val="en-US"/>
        </w:rPr>
      </w:pPr>
      <m:oMath>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A</m:t>
            </m:r>
          </m:sub>
        </m:sSub>
      </m:oMath>
      <w:r w:rsidR="007130B5" w:rsidRPr="004F68B1">
        <w:rPr>
          <w:lang w:val="en-US"/>
        </w:rPr>
        <w:t>: Applicable to NPDSCH in symbols with NRS.</w:t>
      </w:r>
    </w:p>
    <w:p w14:paraId="130F5D4D" w14:textId="09C6EA11" w:rsidR="007130B5" w:rsidRPr="004F68B1" w:rsidRDefault="00B52D87" w:rsidP="00F93256">
      <w:pPr>
        <w:pStyle w:val="ListParagraph"/>
        <w:numPr>
          <w:ilvl w:val="0"/>
          <w:numId w:val="4"/>
        </w:numPr>
        <w:rPr>
          <w:lang w:val="en-US"/>
        </w:rPr>
      </w:pPr>
      <m:oMath>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B</m:t>
            </m:r>
          </m:sub>
        </m:sSub>
      </m:oMath>
      <w:r w:rsidR="007130B5" w:rsidRPr="004F68B1">
        <w:rPr>
          <w:lang w:val="en-US"/>
        </w:rPr>
        <w:t>: Applicable to NPDSCH in symbols with CRS</w:t>
      </w:r>
      <w:r w:rsidR="00427E2F" w:rsidRPr="004F68B1">
        <w:rPr>
          <w:lang w:val="en-US"/>
        </w:rPr>
        <w:t xml:space="preserve"> (required for in-band NB-IoT only)</w:t>
      </w:r>
      <w:r w:rsidR="007130B5" w:rsidRPr="004F68B1">
        <w:rPr>
          <w:lang w:val="en-US"/>
        </w:rPr>
        <w:t>.</w:t>
      </w:r>
    </w:p>
    <w:p w14:paraId="4F7B0BC5" w14:textId="5618BAFC" w:rsidR="007130B5" w:rsidRPr="004F68B1" w:rsidRDefault="00B52D87" w:rsidP="00F93256">
      <w:pPr>
        <w:pStyle w:val="ListParagraph"/>
        <w:numPr>
          <w:ilvl w:val="0"/>
          <w:numId w:val="4"/>
        </w:numPr>
        <w:rPr>
          <w:lang w:val="en-US"/>
        </w:rPr>
      </w:pPr>
      <m:oMath>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C</m:t>
            </m:r>
          </m:sub>
        </m:sSub>
      </m:oMath>
      <w:r w:rsidR="007130B5" w:rsidRPr="004F68B1">
        <w:rPr>
          <w:lang w:val="en-US"/>
        </w:rPr>
        <w:t>: Applicable to NPDSCH in symbols without NRS and CRS.</w:t>
      </w:r>
    </w:p>
    <w:p w14:paraId="20AB3916" w14:textId="616719B0" w:rsidR="007130B5" w:rsidRPr="004F68B1" w:rsidRDefault="007130B5" w:rsidP="00874392">
      <w:pPr>
        <w:rPr>
          <w:lang w:val="en-US"/>
        </w:rPr>
      </w:pPr>
      <w:r w:rsidRPr="004F68B1">
        <w:rPr>
          <w:lang w:val="en-US"/>
        </w:rPr>
        <w:t>Figure 1 shows a pictorial representation of the three different power levels and the associated OFDM symbols</w:t>
      </w:r>
      <w:r w:rsidR="0010253A" w:rsidRPr="004F68B1">
        <w:rPr>
          <w:lang w:val="en-US"/>
        </w:rPr>
        <w:t xml:space="preserve"> for in-band NB-IoT</w:t>
      </w:r>
      <w:r w:rsidRPr="004F68B1">
        <w:rPr>
          <w:lang w:val="en-US"/>
        </w:rPr>
        <w:t>.</w:t>
      </w:r>
    </w:p>
    <w:p w14:paraId="7B48D057" w14:textId="77777777" w:rsidR="008F345D" w:rsidRPr="004F68B1" w:rsidRDefault="008F345D" w:rsidP="008F345D">
      <w:pPr>
        <w:keepNext/>
        <w:rPr>
          <w:lang w:val="en-US"/>
        </w:rPr>
      </w:pPr>
      <w:r w:rsidRPr="004F68B1">
        <w:rPr>
          <w:noProof/>
          <w:lang w:val="en-US"/>
        </w:rPr>
        <w:drawing>
          <wp:inline distT="0" distB="0" distL="0" distR="0" wp14:anchorId="1BEF745B" wp14:editId="4C4F99EE">
            <wp:extent cx="6096528"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96528" cy="3429297"/>
                    </a:xfrm>
                    <a:prstGeom prst="rect">
                      <a:avLst/>
                    </a:prstGeom>
                  </pic:spPr>
                </pic:pic>
              </a:graphicData>
            </a:graphic>
          </wp:inline>
        </w:drawing>
      </w:r>
    </w:p>
    <w:p w14:paraId="08F2181B" w14:textId="5294AAFF" w:rsidR="008F345D" w:rsidRPr="004F68B1" w:rsidRDefault="008F345D" w:rsidP="008F345D">
      <w:pPr>
        <w:pStyle w:val="Caption"/>
        <w:jc w:val="center"/>
      </w:pPr>
      <w:r w:rsidRPr="004F68B1">
        <w:t xml:space="preserve">Figure </w:t>
      </w:r>
      <w:r w:rsidR="00B52D87">
        <w:fldChar w:fldCharType="begin"/>
      </w:r>
      <w:r w:rsidR="00B52D87">
        <w:instrText xml:space="preserve"> SEQ Figure \* ARABIC </w:instrText>
      </w:r>
      <w:r w:rsidR="00B52D87">
        <w:fldChar w:fldCharType="separate"/>
      </w:r>
      <w:r w:rsidR="00435BFA" w:rsidRPr="004F68B1">
        <w:rPr>
          <w:noProof/>
        </w:rPr>
        <w:t>1</w:t>
      </w:r>
      <w:r w:rsidR="00B52D87">
        <w:rPr>
          <w:noProof/>
        </w:rPr>
        <w:fldChar w:fldCharType="end"/>
      </w:r>
      <w:r w:rsidRPr="004F68B1">
        <w:t xml:space="preserve"> Power levels for </w:t>
      </w:r>
      <w:r w:rsidR="00B84F3B" w:rsidRPr="004F68B1">
        <w:t xml:space="preserve">three types of </w:t>
      </w:r>
      <w:r w:rsidRPr="004F68B1">
        <w:t>NPDSCH</w:t>
      </w:r>
      <w:r w:rsidR="00B84F3B" w:rsidRPr="004F68B1">
        <w:t xml:space="preserve"> symbols</w:t>
      </w:r>
      <w:r w:rsidR="0010253A" w:rsidRPr="004F68B1">
        <w:t xml:space="preserve"> for in-band NB-IoT</w:t>
      </w:r>
    </w:p>
    <w:p w14:paraId="7DDA3F9A" w14:textId="7A344E9D" w:rsidR="00E61735" w:rsidRDefault="00793E7B" w:rsidP="00E61735">
      <w:pPr>
        <w:rPr>
          <w:lang w:val="en-US"/>
        </w:rPr>
      </w:pPr>
      <w:r>
        <w:rPr>
          <w:lang w:val="en-US"/>
        </w:rPr>
        <w:t>For standalone / guard band, we propose to confirm the working assumption in the previous meeting, since that approach seems to cover all the cases:</w:t>
      </w:r>
    </w:p>
    <w:p w14:paraId="43B8DAD7" w14:textId="38F0EA4E" w:rsidR="00793E7B" w:rsidRPr="00793E7B" w:rsidRDefault="00793E7B" w:rsidP="00E61735">
      <w:pPr>
        <w:rPr>
          <w:b/>
          <w:bCs/>
          <w:lang w:val="en-US"/>
        </w:rPr>
      </w:pPr>
      <w:r w:rsidRPr="00793E7B">
        <w:rPr>
          <w:b/>
          <w:bCs/>
          <w:u w:val="single"/>
          <w:lang w:val="en-US"/>
        </w:rPr>
        <w:t>Proposal</w:t>
      </w:r>
      <w:r w:rsidR="0007131F">
        <w:rPr>
          <w:b/>
          <w:bCs/>
          <w:u w:val="single"/>
          <w:lang w:val="en-US"/>
        </w:rPr>
        <w:t xml:space="preserve"> 2</w:t>
      </w:r>
      <w:r w:rsidRPr="00793E7B">
        <w:rPr>
          <w:b/>
          <w:bCs/>
          <w:u w:val="single"/>
          <w:lang w:val="en-US"/>
        </w:rPr>
        <w:t>:</w:t>
      </w:r>
      <w:r>
        <w:rPr>
          <w:lang w:val="en-US"/>
        </w:rPr>
        <w:t xml:space="preserve"> </w:t>
      </w:r>
      <w:r w:rsidRPr="00793E7B">
        <w:rPr>
          <w:b/>
          <w:bCs/>
          <w:lang w:val="en-US"/>
        </w:rPr>
        <w:t>Confirm the following working assumption:</w:t>
      </w:r>
    </w:p>
    <w:p w14:paraId="731FFB2D" w14:textId="77777777" w:rsidR="00793E7B" w:rsidRPr="00793E7B" w:rsidRDefault="00793E7B" w:rsidP="00793E7B">
      <w:pPr>
        <w:pStyle w:val="Caption"/>
        <w:spacing w:before="0" w:after="0"/>
        <w:ind w:left="360"/>
        <w:rPr>
          <w:rFonts w:ascii="Times" w:hAnsi="Times" w:cs="Times"/>
        </w:rPr>
      </w:pPr>
      <w:r w:rsidRPr="00793E7B">
        <w:rPr>
          <w:rFonts w:ascii="Times" w:hAnsi="Times" w:cs="Times"/>
        </w:rPr>
        <w:t>For downlink power allocation to support 16QAM:</w:t>
      </w:r>
    </w:p>
    <w:p w14:paraId="2CF3D8B9" w14:textId="77777777" w:rsidR="00793E7B" w:rsidRPr="00793E7B" w:rsidRDefault="00793E7B" w:rsidP="00793E7B">
      <w:pPr>
        <w:pStyle w:val="ListParagraph"/>
        <w:numPr>
          <w:ilvl w:val="0"/>
          <w:numId w:val="14"/>
        </w:numPr>
        <w:overflowPunct/>
        <w:autoSpaceDE/>
        <w:autoSpaceDN/>
        <w:adjustRightInd/>
        <w:spacing w:after="0"/>
        <w:ind w:left="1080"/>
        <w:contextualSpacing w:val="0"/>
        <w:jc w:val="both"/>
        <w:textAlignment w:val="auto"/>
        <w:rPr>
          <w:rFonts w:cs="Times"/>
          <w:b/>
          <w:bCs/>
        </w:rPr>
      </w:pPr>
      <w:r w:rsidRPr="00793E7B">
        <w:rPr>
          <w:rFonts w:cs="Times"/>
          <w:b/>
          <w:bCs/>
        </w:rPr>
        <w:lastRenderedPageBreak/>
        <w:t>For standalone and guard-band deployments:</w:t>
      </w:r>
    </w:p>
    <w:p w14:paraId="21CDEFED" w14:textId="77777777" w:rsidR="00793E7B" w:rsidRPr="00793E7B" w:rsidRDefault="00793E7B" w:rsidP="00793E7B">
      <w:pPr>
        <w:pStyle w:val="ListParagraph"/>
        <w:numPr>
          <w:ilvl w:val="1"/>
          <w:numId w:val="14"/>
        </w:numPr>
        <w:overflowPunct/>
        <w:autoSpaceDE/>
        <w:autoSpaceDN/>
        <w:adjustRightInd/>
        <w:spacing w:after="0"/>
        <w:ind w:left="1800"/>
        <w:contextualSpacing w:val="0"/>
        <w:jc w:val="both"/>
        <w:textAlignment w:val="auto"/>
        <w:rPr>
          <w:rFonts w:cs="Times"/>
          <w:b/>
          <w:bCs/>
        </w:rPr>
      </w:pPr>
      <w:r w:rsidRPr="00793E7B">
        <w:rPr>
          <w:rFonts w:cs="Times"/>
          <w:b/>
          <w:bCs/>
        </w:rPr>
        <w:t xml:space="preserve">One power ratio is </w:t>
      </w:r>
      <w:proofErr w:type="spellStart"/>
      <w:r w:rsidRPr="00793E7B">
        <w:rPr>
          <w:rFonts w:cs="Times"/>
          <w:b/>
          <w:bCs/>
        </w:rPr>
        <w:t>signaled</w:t>
      </w:r>
      <w:proofErr w:type="spellEnd"/>
      <w:r w:rsidRPr="00793E7B">
        <w:rPr>
          <w:rFonts w:cs="Times"/>
          <w:b/>
          <w:bCs/>
        </w:rPr>
        <w:t xml:space="preserve"> optionally</w:t>
      </w:r>
    </w:p>
    <w:p w14:paraId="747A0BD8" w14:textId="77777777" w:rsidR="00793E7B" w:rsidRPr="00793E7B" w:rsidRDefault="00793E7B" w:rsidP="00793E7B">
      <w:pPr>
        <w:pStyle w:val="ListParagraph"/>
        <w:numPr>
          <w:ilvl w:val="2"/>
          <w:numId w:val="14"/>
        </w:numPr>
        <w:overflowPunct/>
        <w:autoSpaceDE/>
        <w:autoSpaceDN/>
        <w:adjustRightInd/>
        <w:spacing w:after="0"/>
        <w:ind w:left="2520"/>
        <w:contextualSpacing w:val="0"/>
        <w:jc w:val="both"/>
        <w:textAlignment w:val="auto"/>
        <w:rPr>
          <w:rFonts w:cs="Times"/>
          <w:b/>
          <w:bCs/>
        </w:rPr>
      </w:pPr>
      <w:r w:rsidRPr="00793E7B">
        <w:rPr>
          <w:rFonts w:cs="Times"/>
          <w:b/>
          <w:bCs/>
        </w:rPr>
        <w:t>NPDSCH EPRE to NRS EPRE in symbols without NRS</w:t>
      </w:r>
    </w:p>
    <w:p w14:paraId="092558E1" w14:textId="77777777" w:rsidR="00793E7B" w:rsidRPr="00793E7B" w:rsidRDefault="00793E7B" w:rsidP="00793E7B">
      <w:pPr>
        <w:pStyle w:val="ListParagraph"/>
        <w:numPr>
          <w:ilvl w:val="1"/>
          <w:numId w:val="14"/>
        </w:numPr>
        <w:overflowPunct/>
        <w:autoSpaceDE/>
        <w:autoSpaceDN/>
        <w:adjustRightInd/>
        <w:spacing w:after="0"/>
        <w:ind w:left="1800"/>
        <w:contextualSpacing w:val="0"/>
        <w:jc w:val="both"/>
        <w:textAlignment w:val="auto"/>
        <w:rPr>
          <w:rFonts w:cs="Times"/>
          <w:b/>
          <w:bCs/>
        </w:rPr>
      </w:pPr>
      <w:r w:rsidRPr="00793E7B">
        <w:rPr>
          <w:rFonts w:cs="Times"/>
          <w:b/>
          <w:bCs/>
        </w:rPr>
        <w:t>The same transmit power is assumed across different symbols.</w:t>
      </w:r>
    </w:p>
    <w:p w14:paraId="78CF6981" w14:textId="77777777" w:rsidR="00793E7B" w:rsidRPr="00793E7B" w:rsidRDefault="00793E7B" w:rsidP="00793E7B">
      <w:pPr>
        <w:pStyle w:val="ListParagraph"/>
        <w:numPr>
          <w:ilvl w:val="1"/>
          <w:numId w:val="14"/>
        </w:numPr>
        <w:overflowPunct/>
        <w:autoSpaceDE/>
        <w:autoSpaceDN/>
        <w:adjustRightInd/>
        <w:spacing w:after="0"/>
        <w:ind w:left="1800"/>
        <w:contextualSpacing w:val="0"/>
        <w:jc w:val="both"/>
        <w:textAlignment w:val="auto"/>
        <w:rPr>
          <w:rFonts w:cs="Times"/>
          <w:b/>
          <w:bCs/>
        </w:rPr>
      </w:pPr>
      <w:r w:rsidRPr="00793E7B">
        <w:rPr>
          <w:rFonts w:cs="Times"/>
          <w:b/>
          <w:bCs/>
        </w:rPr>
        <w:t>If the signalling is not indicated, the legacy power allocation is used.</w:t>
      </w:r>
    </w:p>
    <w:p w14:paraId="480F7BCA" w14:textId="77777777" w:rsidR="00793E7B" w:rsidRPr="00793E7B" w:rsidRDefault="00793E7B" w:rsidP="00793E7B">
      <w:pPr>
        <w:pStyle w:val="ListParagraph"/>
        <w:numPr>
          <w:ilvl w:val="2"/>
          <w:numId w:val="14"/>
        </w:numPr>
        <w:overflowPunct/>
        <w:autoSpaceDE/>
        <w:autoSpaceDN/>
        <w:adjustRightInd/>
        <w:spacing w:after="0"/>
        <w:ind w:left="2520"/>
        <w:contextualSpacing w:val="0"/>
        <w:jc w:val="both"/>
        <w:textAlignment w:val="auto"/>
        <w:rPr>
          <w:rFonts w:cs="Times"/>
          <w:b/>
          <w:bCs/>
        </w:rPr>
      </w:pPr>
      <w:r w:rsidRPr="00793E7B">
        <w:rPr>
          <w:rFonts w:cs="Times"/>
          <w:b/>
          <w:bCs/>
        </w:rPr>
        <w:t>i.e., the ratio of NPDSCH EPRE to NRS EPRE is 0dB for one NRS antenna port, and -3dB for two NRS antenna ports</w:t>
      </w:r>
    </w:p>
    <w:p w14:paraId="150CCD07" w14:textId="77777777" w:rsidR="00793E7B" w:rsidRPr="00793E7B" w:rsidRDefault="00793E7B" w:rsidP="00793E7B">
      <w:pPr>
        <w:pStyle w:val="ListParagraph"/>
        <w:numPr>
          <w:ilvl w:val="0"/>
          <w:numId w:val="14"/>
        </w:numPr>
        <w:overflowPunct/>
        <w:autoSpaceDE/>
        <w:autoSpaceDN/>
        <w:adjustRightInd/>
        <w:spacing w:after="0"/>
        <w:ind w:left="1080"/>
        <w:contextualSpacing w:val="0"/>
        <w:jc w:val="both"/>
        <w:textAlignment w:val="auto"/>
        <w:rPr>
          <w:rFonts w:cs="Times"/>
          <w:b/>
          <w:bCs/>
        </w:rPr>
      </w:pPr>
      <w:r w:rsidRPr="00793E7B">
        <w:rPr>
          <w:rFonts w:cs="Times"/>
          <w:b/>
          <w:bCs/>
        </w:rPr>
        <w:t>UE specific signalling is used</w:t>
      </w:r>
    </w:p>
    <w:p w14:paraId="680A8598" w14:textId="77777777" w:rsidR="00793E7B" w:rsidRDefault="00793E7B" w:rsidP="00E61735">
      <w:pPr>
        <w:rPr>
          <w:lang w:val="en-US"/>
        </w:rPr>
      </w:pPr>
    </w:p>
    <w:p w14:paraId="3067BCF1" w14:textId="6A1255B4" w:rsidR="00793E7B" w:rsidRDefault="00793E7B" w:rsidP="00E61735">
      <w:pPr>
        <w:rPr>
          <w:lang w:val="en-US" w:eastAsia="x-none"/>
        </w:rPr>
      </w:pPr>
      <w:r>
        <w:rPr>
          <w:lang w:val="en-US" w:eastAsia="x-none"/>
        </w:rPr>
        <w:t>For in-band deployments, though, the situation is more complicated. Right now, there are two options on the table to derive the EPRE in symbols with CRS:</w:t>
      </w:r>
    </w:p>
    <w:p w14:paraId="5C6EC35D" w14:textId="77777777" w:rsidR="00793E7B" w:rsidRPr="00CE3541" w:rsidRDefault="00793E7B" w:rsidP="00793E7B">
      <w:pPr>
        <w:numPr>
          <w:ilvl w:val="1"/>
          <w:numId w:val="18"/>
        </w:numPr>
        <w:spacing w:after="0"/>
        <w:rPr>
          <w:rFonts w:cs="Times"/>
          <w:lang w:eastAsia="zh-CN"/>
        </w:rPr>
      </w:pPr>
      <w:r w:rsidRPr="00CE3541">
        <w:rPr>
          <w:rFonts w:cs="Times"/>
          <w:lang w:eastAsia="zh-CN"/>
        </w:rPr>
        <w:t>Alt 1:</w:t>
      </w:r>
    </w:p>
    <w:p w14:paraId="2049B2FC" w14:textId="77777777" w:rsidR="00793E7B" w:rsidRPr="00CE3541" w:rsidRDefault="00793E7B" w:rsidP="00793E7B">
      <w:pPr>
        <w:numPr>
          <w:ilvl w:val="2"/>
          <w:numId w:val="18"/>
        </w:numPr>
        <w:spacing w:after="0"/>
        <w:rPr>
          <w:rFonts w:cs="Times"/>
          <w:lang w:eastAsia="zh-CN"/>
        </w:rPr>
      </w:pPr>
      <w:r w:rsidRPr="00CE3541">
        <w:rPr>
          <w:rFonts w:cs="Times"/>
          <w:lang w:eastAsia="zh-CN"/>
        </w:rPr>
        <w:t xml:space="preserve">The existing parameter </w:t>
      </w:r>
      <w:proofErr w:type="spellStart"/>
      <w:r w:rsidRPr="00CE3541">
        <w:rPr>
          <w:rFonts w:cs="Times"/>
          <w:lang w:eastAsia="zh-CN"/>
        </w:rPr>
        <w:t>nrs</w:t>
      </w:r>
      <w:proofErr w:type="spellEnd"/>
      <w:r w:rsidRPr="00CE3541">
        <w:rPr>
          <w:rFonts w:cs="Times"/>
          <w:lang w:eastAsia="zh-CN"/>
        </w:rPr>
        <w:t>-CRS-</w:t>
      </w:r>
      <w:proofErr w:type="spellStart"/>
      <w:r w:rsidRPr="00CE3541">
        <w:rPr>
          <w:rFonts w:cs="Times"/>
          <w:lang w:eastAsia="zh-CN"/>
        </w:rPr>
        <w:t>PowerOffset</w:t>
      </w:r>
      <w:proofErr w:type="spellEnd"/>
      <w:r w:rsidRPr="00CE3541">
        <w:rPr>
          <w:rFonts w:cs="Times"/>
          <w:lang w:eastAsia="zh-CN"/>
        </w:rPr>
        <w:t xml:space="preserve"> is reused for same PCI </w:t>
      </w:r>
      <w:proofErr w:type="gramStart"/>
      <w:r w:rsidRPr="00CE3541">
        <w:rPr>
          <w:rFonts w:cs="Times"/>
          <w:lang w:eastAsia="zh-CN"/>
        </w:rPr>
        <w:t>case, and</w:t>
      </w:r>
      <w:proofErr w:type="gramEnd"/>
      <w:r w:rsidRPr="00CE3541">
        <w:rPr>
          <w:rFonts w:cs="Times"/>
          <w:lang w:eastAsia="zh-CN"/>
        </w:rPr>
        <w:t xml:space="preserve"> is </w:t>
      </w:r>
      <w:proofErr w:type="spellStart"/>
      <w:r w:rsidRPr="00CE3541">
        <w:rPr>
          <w:rFonts w:cs="Times"/>
          <w:lang w:eastAsia="zh-CN"/>
        </w:rPr>
        <w:t>signaled</w:t>
      </w:r>
      <w:proofErr w:type="spellEnd"/>
      <w:r w:rsidRPr="00CE3541">
        <w:rPr>
          <w:lang w:eastAsia="zh-CN"/>
        </w:rPr>
        <w:t xml:space="preserve"> for different PCI case.</w:t>
      </w:r>
    </w:p>
    <w:p w14:paraId="46642C1D" w14:textId="77777777" w:rsidR="00793E7B" w:rsidRPr="00CE3541" w:rsidRDefault="00793E7B" w:rsidP="00793E7B">
      <w:pPr>
        <w:numPr>
          <w:ilvl w:val="2"/>
          <w:numId w:val="18"/>
        </w:numPr>
        <w:spacing w:after="0"/>
        <w:rPr>
          <w:lang w:eastAsia="zh-CN"/>
        </w:rPr>
      </w:pPr>
      <w:r w:rsidRPr="00CE3541">
        <w:rPr>
          <w:lang w:eastAsia="zh-CN"/>
        </w:rPr>
        <w:t xml:space="preserve">The same transmit power of different symbols is assumed as to derive from </w:t>
      </w:r>
      <w:proofErr w:type="spellStart"/>
      <w:r w:rsidRPr="00CE3541">
        <w:rPr>
          <w:i/>
          <w:iCs/>
          <w:lang w:eastAsia="zh-CN"/>
        </w:rPr>
        <w:t>nrs</w:t>
      </w:r>
      <w:proofErr w:type="spellEnd"/>
      <w:r w:rsidRPr="00CE3541">
        <w:rPr>
          <w:i/>
          <w:iCs/>
          <w:lang w:eastAsia="zh-CN"/>
        </w:rPr>
        <w:t>-CRS-</w:t>
      </w:r>
      <w:proofErr w:type="spellStart"/>
      <w:r w:rsidRPr="00CE3541">
        <w:rPr>
          <w:i/>
          <w:iCs/>
          <w:lang w:eastAsia="zh-CN"/>
        </w:rPr>
        <w:t>PowerOffset</w:t>
      </w:r>
      <w:proofErr w:type="spellEnd"/>
      <w:r w:rsidRPr="00CE3541">
        <w:rPr>
          <w:lang w:eastAsia="zh-CN"/>
        </w:rPr>
        <w:t xml:space="preserve"> the NPDSCH EPRE in symbols with CRS.</w:t>
      </w:r>
    </w:p>
    <w:p w14:paraId="0BFD21B7" w14:textId="77777777" w:rsidR="00793E7B" w:rsidRPr="00CE3541" w:rsidRDefault="00793E7B" w:rsidP="00793E7B">
      <w:pPr>
        <w:numPr>
          <w:ilvl w:val="1"/>
          <w:numId w:val="18"/>
        </w:numPr>
        <w:spacing w:after="0"/>
        <w:rPr>
          <w:rFonts w:cs="Times"/>
          <w:lang w:eastAsia="zh-CN"/>
        </w:rPr>
      </w:pPr>
      <w:r w:rsidRPr="00CE3541">
        <w:rPr>
          <w:rFonts w:cs="Times"/>
          <w:lang w:eastAsia="zh-CN"/>
        </w:rPr>
        <w:t xml:space="preserve">Alt 2: </w:t>
      </w:r>
    </w:p>
    <w:p w14:paraId="09032068" w14:textId="77777777" w:rsidR="00793E7B" w:rsidRPr="00CE3541" w:rsidRDefault="00793E7B" w:rsidP="00793E7B">
      <w:pPr>
        <w:numPr>
          <w:ilvl w:val="2"/>
          <w:numId w:val="18"/>
        </w:numPr>
        <w:spacing w:after="0"/>
        <w:rPr>
          <w:lang w:eastAsia="zh-CN"/>
        </w:rPr>
      </w:pPr>
      <w:r w:rsidRPr="00CE3541">
        <w:rPr>
          <w:lang w:eastAsia="zh-CN"/>
        </w:rPr>
        <w:t xml:space="preserve">the power ratio between NPDSCH EPRE and NRS EPRE in symbols with CRS is </w:t>
      </w:r>
      <w:proofErr w:type="spellStart"/>
      <w:r w:rsidRPr="00CE3541">
        <w:rPr>
          <w:lang w:eastAsia="zh-CN"/>
        </w:rPr>
        <w:t>signaled</w:t>
      </w:r>
      <w:proofErr w:type="spellEnd"/>
    </w:p>
    <w:p w14:paraId="2842439B" w14:textId="57FEEEBA" w:rsidR="00793E7B" w:rsidRDefault="00793E7B" w:rsidP="00E61735">
      <w:pPr>
        <w:rPr>
          <w:lang w:eastAsia="x-none"/>
        </w:rPr>
      </w:pPr>
    </w:p>
    <w:p w14:paraId="6A193135" w14:textId="58AFF4C8" w:rsidR="00793E7B" w:rsidRDefault="00793E7B" w:rsidP="00E61735">
      <w:pPr>
        <w:rPr>
          <w:lang w:eastAsia="x-none"/>
        </w:rPr>
      </w:pPr>
      <w:r>
        <w:rPr>
          <w:lang w:eastAsia="x-none"/>
        </w:rPr>
        <w:t>In the following, we will show that Alt 1 does not work, and RAN1 shall select Alt 2 as the way forward.</w:t>
      </w:r>
    </w:p>
    <w:p w14:paraId="714E7A50" w14:textId="0F29AA3A" w:rsidR="00793E7B" w:rsidRDefault="00793E7B" w:rsidP="00E61735">
      <w:pPr>
        <w:rPr>
          <w:lang w:eastAsia="x-none"/>
        </w:rPr>
      </w:pPr>
      <w:r>
        <w:rPr>
          <w:lang w:eastAsia="x-none"/>
        </w:rPr>
        <w:t>Consider the following scenario under Alt 1:</w:t>
      </w:r>
    </w:p>
    <w:p w14:paraId="41AE6FAB" w14:textId="697309CA" w:rsidR="00793E7B" w:rsidRDefault="00793E7B" w:rsidP="00793E7B">
      <w:pPr>
        <w:pStyle w:val="ListParagraph"/>
        <w:numPr>
          <w:ilvl w:val="0"/>
          <w:numId w:val="19"/>
        </w:numPr>
        <w:rPr>
          <w:lang w:eastAsia="x-none"/>
        </w:rPr>
      </w:pPr>
      <w:r>
        <w:rPr>
          <w:lang w:eastAsia="x-none"/>
        </w:rPr>
        <w:t>Single NRS and CRS port.</w:t>
      </w:r>
    </w:p>
    <w:p w14:paraId="7D4B857D" w14:textId="4C7434EF" w:rsidR="00793E7B" w:rsidRDefault="00793E7B" w:rsidP="00793E7B">
      <w:pPr>
        <w:pStyle w:val="ListParagraph"/>
        <w:numPr>
          <w:ilvl w:val="0"/>
          <w:numId w:val="19"/>
        </w:numPr>
        <w:rPr>
          <w:lang w:eastAsia="x-none"/>
        </w:rPr>
      </w:pPr>
      <w:r>
        <w:rPr>
          <w:lang w:eastAsia="x-none"/>
        </w:rPr>
        <w:t>CRS is power boosted 3dB with respect to LTE PDSCH.</w:t>
      </w:r>
    </w:p>
    <w:p w14:paraId="211F81B4" w14:textId="5DE363C5" w:rsidR="00793E7B" w:rsidRDefault="00793E7B" w:rsidP="00793E7B">
      <w:pPr>
        <w:pStyle w:val="ListParagraph"/>
        <w:numPr>
          <w:ilvl w:val="0"/>
          <w:numId w:val="19"/>
        </w:numPr>
        <w:rPr>
          <w:lang w:eastAsia="x-none"/>
        </w:rPr>
      </w:pPr>
      <w:r>
        <w:rPr>
          <w:lang w:eastAsia="x-none"/>
        </w:rPr>
        <w:t>NPDSCH/NRS is power boosted 3dB with respect to LTE PDSCH (i.e.,</w:t>
      </w:r>
      <w:r w:rsidR="0007131F">
        <w:rPr>
          <w:lang w:eastAsia="x-none"/>
        </w:rPr>
        <w:t xml:space="preserve"> one LTE PDSCH PRB is “blanked”, and thus</w:t>
      </w:r>
      <w:r>
        <w:rPr>
          <w:lang w:eastAsia="x-none"/>
        </w:rPr>
        <w:t xml:space="preserve"> the EPRE between NRS and CRS is 0dB)</w:t>
      </w:r>
    </w:p>
    <w:p w14:paraId="15B37217" w14:textId="013E43E1" w:rsidR="00793E7B" w:rsidRDefault="00793E7B" w:rsidP="00E61735">
      <w:pPr>
        <w:rPr>
          <w:lang w:eastAsia="x-none"/>
        </w:rPr>
      </w:pPr>
      <w:r>
        <w:rPr>
          <w:lang w:eastAsia="x-none"/>
        </w:rPr>
        <w:t xml:space="preserve">In this case, applying Alt.1 will lead to the following power allocation, where all REs </w:t>
      </w:r>
      <w:proofErr w:type="gramStart"/>
      <w:r>
        <w:rPr>
          <w:lang w:eastAsia="x-none"/>
        </w:rPr>
        <w:t>have</w:t>
      </w:r>
      <w:proofErr w:type="gramEnd"/>
      <w:r>
        <w:rPr>
          <w:lang w:eastAsia="x-none"/>
        </w:rPr>
        <w:t xml:space="preserve"> the same power (the power of CRS is set to 2 units, since it is 3dB boosted with respect to PDSCH)</w:t>
      </w:r>
    </w:p>
    <w:p w14:paraId="36502298" w14:textId="2C533435" w:rsidR="00793E7B" w:rsidRDefault="00793E7B" w:rsidP="00793E7B">
      <w:pPr>
        <w:pStyle w:val="Caption"/>
        <w:keepNext/>
        <w:jc w:val="center"/>
      </w:pPr>
      <w:r>
        <w:t xml:space="preserve">Table </w:t>
      </w:r>
      <w:fldSimple w:instr=" SEQ Table \* ARABIC ">
        <w:r w:rsidR="00752E7F">
          <w:rPr>
            <w:noProof/>
          </w:rPr>
          <w:t>1</w:t>
        </w:r>
      </w:fldSimple>
      <w:r>
        <w:t xml:space="preserve"> Power allocation under Alt.1 (red: CRS, yellow: NPDSCH, green: NRS)</w:t>
      </w:r>
      <w:r w:rsidR="00F53713">
        <w:t xml:space="preserve"> – showing only a single symbol of each type</w:t>
      </w:r>
    </w:p>
    <w:tbl>
      <w:tblPr>
        <w:tblW w:w="2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tblGrid>
      <w:tr w:rsidR="00793E7B" w:rsidRPr="00793E7B" w14:paraId="228FE8DA" w14:textId="77777777" w:rsidTr="00793E7B">
        <w:trPr>
          <w:trHeight w:val="300"/>
          <w:jc w:val="center"/>
        </w:trPr>
        <w:tc>
          <w:tcPr>
            <w:tcW w:w="960" w:type="dxa"/>
            <w:shd w:val="clear" w:color="000000" w:fill="FFC7CE"/>
            <w:noWrap/>
            <w:vAlign w:val="bottom"/>
            <w:hideMark/>
          </w:tcPr>
          <w:p w14:paraId="53881DB6" w14:textId="3B2DAB25" w:rsidR="00793E7B" w:rsidRPr="00793E7B" w:rsidRDefault="00793E7B" w:rsidP="00793E7B">
            <w:pPr>
              <w:spacing w:after="0"/>
              <w:jc w:val="right"/>
              <w:rPr>
                <w:rFonts w:ascii="Calibri" w:hAnsi="Calibri" w:cs="Calibri"/>
                <w:color w:val="9C0006"/>
                <w:sz w:val="22"/>
                <w:szCs w:val="22"/>
                <w:lang w:val="en-US"/>
              </w:rPr>
            </w:pPr>
            <w:r>
              <w:rPr>
                <w:rFonts w:ascii="Calibri" w:hAnsi="Calibri" w:cs="Calibri"/>
                <w:color w:val="9C0006"/>
                <w:sz w:val="22"/>
                <w:szCs w:val="22"/>
                <w:lang w:val="en-US"/>
              </w:rPr>
              <w:t>2</w:t>
            </w:r>
          </w:p>
        </w:tc>
        <w:tc>
          <w:tcPr>
            <w:tcW w:w="960" w:type="dxa"/>
            <w:shd w:val="clear" w:color="000000" w:fill="FFEB9C"/>
            <w:noWrap/>
            <w:vAlign w:val="bottom"/>
            <w:hideMark/>
          </w:tcPr>
          <w:p w14:paraId="27E8AB48" w14:textId="73D7E5C5"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c>
          <w:tcPr>
            <w:tcW w:w="960" w:type="dxa"/>
            <w:shd w:val="clear" w:color="000000" w:fill="C6EFCE"/>
            <w:noWrap/>
            <w:vAlign w:val="bottom"/>
            <w:hideMark/>
          </w:tcPr>
          <w:p w14:paraId="23FFACAB" w14:textId="637AC6C1" w:rsidR="00793E7B" w:rsidRPr="00793E7B" w:rsidRDefault="00793E7B" w:rsidP="00793E7B">
            <w:pPr>
              <w:spacing w:after="0"/>
              <w:jc w:val="right"/>
              <w:rPr>
                <w:rFonts w:ascii="Calibri" w:hAnsi="Calibri" w:cs="Calibri"/>
                <w:color w:val="006100"/>
                <w:sz w:val="22"/>
                <w:szCs w:val="22"/>
                <w:lang w:val="en-US"/>
              </w:rPr>
            </w:pPr>
            <w:r>
              <w:rPr>
                <w:rFonts w:ascii="Calibri" w:hAnsi="Calibri" w:cs="Calibri"/>
                <w:color w:val="006100"/>
                <w:sz w:val="22"/>
                <w:szCs w:val="22"/>
              </w:rPr>
              <w:t>2</w:t>
            </w:r>
          </w:p>
        </w:tc>
      </w:tr>
      <w:tr w:rsidR="00793E7B" w:rsidRPr="00793E7B" w14:paraId="059EDCF7" w14:textId="77777777" w:rsidTr="00793E7B">
        <w:trPr>
          <w:trHeight w:val="300"/>
          <w:jc w:val="center"/>
        </w:trPr>
        <w:tc>
          <w:tcPr>
            <w:tcW w:w="960" w:type="dxa"/>
            <w:shd w:val="clear" w:color="000000" w:fill="FFEB9C"/>
            <w:noWrap/>
            <w:vAlign w:val="bottom"/>
            <w:hideMark/>
          </w:tcPr>
          <w:p w14:paraId="05E4A6AD" w14:textId="7A6C864B"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lang w:val="en-US"/>
              </w:rPr>
              <w:t>2</w:t>
            </w:r>
          </w:p>
        </w:tc>
        <w:tc>
          <w:tcPr>
            <w:tcW w:w="960" w:type="dxa"/>
            <w:shd w:val="clear" w:color="000000" w:fill="FFEB9C"/>
            <w:noWrap/>
            <w:vAlign w:val="bottom"/>
            <w:hideMark/>
          </w:tcPr>
          <w:p w14:paraId="2FDAE628" w14:textId="7C647B84"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c>
          <w:tcPr>
            <w:tcW w:w="960" w:type="dxa"/>
            <w:shd w:val="clear" w:color="000000" w:fill="FFEB9C"/>
            <w:noWrap/>
            <w:vAlign w:val="bottom"/>
            <w:hideMark/>
          </w:tcPr>
          <w:p w14:paraId="7BBC65EB" w14:textId="294305E1"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r>
      <w:tr w:rsidR="00793E7B" w:rsidRPr="00793E7B" w14:paraId="4720ED84" w14:textId="77777777" w:rsidTr="00793E7B">
        <w:trPr>
          <w:trHeight w:val="300"/>
          <w:jc w:val="center"/>
        </w:trPr>
        <w:tc>
          <w:tcPr>
            <w:tcW w:w="960" w:type="dxa"/>
            <w:shd w:val="clear" w:color="000000" w:fill="FFEB9C"/>
            <w:noWrap/>
            <w:vAlign w:val="bottom"/>
            <w:hideMark/>
          </w:tcPr>
          <w:p w14:paraId="3A8F951F" w14:textId="427F7F26"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lang w:val="en-US"/>
              </w:rPr>
              <w:t>2</w:t>
            </w:r>
          </w:p>
        </w:tc>
        <w:tc>
          <w:tcPr>
            <w:tcW w:w="960" w:type="dxa"/>
            <w:shd w:val="clear" w:color="000000" w:fill="FFEB9C"/>
            <w:noWrap/>
            <w:vAlign w:val="bottom"/>
            <w:hideMark/>
          </w:tcPr>
          <w:p w14:paraId="3158923D" w14:textId="743F15C1"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c>
          <w:tcPr>
            <w:tcW w:w="960" w:type="dxa"/>
            <w:shd w:val="clear" w:color="000000" w:fill="FFEB9C"/>
            <w:noWrap/>
            <w:vAlign w:val="bottom"/>
            <w:hideMark/>
          </w:tcPr>
          <w:p w14:paraId="2DEF0F0B" w14:textId="7D5436EC"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r>
      <w:tr w:rsidR="00793E7B" w:rsidRPr="00793E7B" w14:paraId="7312EE35" w14:textId="77777777" w:rsidTr="00793E7B">
        <w:trPr>
          <w:trHeight w:val="300"/>
          <w:jc w:val="center"/>
        </w:trPr>
        <w:tc>
          <w:tcPr>
            <w:tcW w:w="960" w:type="dxa"/>
            <w:shd w:val="clear" w:color="000000" w:fill="FFEB9C"/>
            <w:noWrap/>
            <w:vAlign w:val="bottom"/>
            <w:hideMark/>
          </w:tcPr>
          <w:p w14:paraId="5544B698" w14:textId="474DF98A"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lang w:val="en-US"/>
              </w:rPr>
              <w:t>2</w:t>
            </w:r>
          </w:p>
        </w:tc>
        <w:tc>
          <w:tcPr>
            <w:tcW w:w="960" w:type="dxa"/>
            <w:shd w:val="clear" w:color="000000" w:fill="FFEB9C"/>
            <w:noWrap/>
            <w:vAlign w:val="bottom"/>
            <w:hideMark/>
          </w:tcPr>
          <w:p w14:paraId="481DD6A9" w14:textId="3202F52D"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c>
          <w:tcPr>
            <w:tcW w:w="960" w:type="dxa"/>
            <w:shd w:val="clear" w:color="000000" w:fill="FFEB9C"/>
            <w:noWrap/>
            <w:vAlign w:val="bottom"/>
            <w:hideMark/>
          </w:tcPr>
          <w:p w14:paraId="3BC0EB62" w14:textId="03905A57"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r>
      <w:tr w:rsidR="00793E7B" w:rsidRPr="00793E7B" w14:paraId="7990BB67" w14:textId="77777777" w:rsidTr="00793E7B">
        <w:trPr>
          <w:trHeight w:val="300"/>
          <w:jc w:val="center"/>
        </w:trPr>
        <w:tc>
          <w:tcPr>
            <w:tcW w:w="960" w:type="dxa"/>
            <w:shd w:val="clear" w:color="000000" w:fill="FFEB9C"/>
            <w:noWrap/>
            <w:vAlign w:val="bottom"/>
            <w:hideMark/>
          </w:tcPr>
          <w:p w14:paraId="38495EC4" w14:textId="43AB9750"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lang w:val="en-US"/>
              </w:rPr>
              <w:t>2</w:t>
            </w:r>
          </w:p>
        </w:tc>
        <w:tc>
          <w:tcPr>
            <w:tcW w:w="960" w:type="dxa"/>
            <w:shd w:val="clear" w:color="000000" w:fill="FFEB9C"/>
            <w:noWrap/>
            <w:vAlign w:val="bottom"/>
            <w:hideMark/>
          </w:tcPr>
          <w:p w14:paraId="71C55440" w14:textId="1626CCEF"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c>
          <w:tcPr>
            <w:tcW w:w="960" w:type="dxa"/>
            <w:shd w:val="clear" w:color="000000" w:fill="FFEB9C"/>
            <w:noWrap/>
            <w:vAlign w:val="bottom"/>
            <w:hideMark/>
          </w:tcPr>
          <w:p w14:paraId="3A3E0D4B" w14:textId="48C7BB3E"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r>
      <w:tr w:rsidR="00793E7B" w:rsidRPr="00793E7B" w14:paraId="782BACBE" w14:textId="77777777" w:rsidTr="00793E7B">
        <w:trPr>
          <w:trHeight w:val="300"/>
          <w:jc w:val="center"/>
        </w:trPr>
        <w:tc>
          <w:tcPr>
            <w:tcW w:w="960" w:type="dxa"/>
            <w:shd w:val="clear" w:color="000000" w:fill="FFEB9C"/>
            <w:noWrap/>
            <w:vAlign w:val="bottom"/>
            <w:hideMark/>
          </w:tcPr>
          <w:p w14:paraId="4072515C" w14:textId="19F77612"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lang w:val="en-US"/>
              </w:rPr>
              <w:t>2</w:t>
            </w:r>
          </w:p>
        </w:tc>
        <w:tc>
          <w:tcPr>
            <w:tcW w:w="960" w:type="dxa"/>
            <w:shd w:val="clear" w:color="000000" w:fill="FFEB9C"/>
            <w:noWrap/>
            <w:vAlign w:val="bottom"/>
            <w:hideMark/>
          </w:tcPr>
          <w:p w14:paraId="7CA80279" w14:textId="6E0348E4"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c>
          <w:tcPr>
            <w:tcW w:w="960" w:type="dxa"/>
            <w:shd w:val="clear" w:color="000000" w:fill="FFEB9C"/>
            <w:noWrap/>
            <w:vAlign w:val="bottom"/>
            <w:hideMark/>
          </w:tcPr>
          <w:p w14:paraId="5473C3CF" w14:textId="5AB7C472"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r>
      <w:tr w:rsidR="00793E7B" w:rsidRPr="00793E7B" w14:paraId="2F2674E4" w14:textId="77777777" w:rsidTr="00793E7B">
        <w:trPr>
          <w:trHeight w:val="300"/>
          <w:jc w:val="center"/>
        </w:trPr>
        <w:tc>
          <w:tcPr>
            <w:tcW w:w="960" w:type="dxa"/>
            <w:shd w:val="clear" w:color="000000" w:fill="FFC7CE"/>
            <w:noWrap/>
            <w:vAlign w:val="bottom"/>
            <w:hideMark/>
          </w:tcPr>
          <w:p w14:paraId="3E8EFF57" w14:textId="4A045346" w:rsidR="00793E7B" w:rsidRPr="00793E7B" w:rsidRDefault="00793E7B" w:rsidP="00793E7B">
            <w:pPr>
              <w:spacing w:after="0"/>
              <w:jc w:val="right"/>
              <w:rPr>
                <w:rFonts w:ascii="Calibri" w:hAnsi="Calibri" w:cs="Calibri"/>
                <w:color w:val="9C0006"/>
                <w:sz w:val="22"/>
                <w:szCs w:val="22"/>
                <w:lang w:val="en-US"/>
              </w:rPr>
            </w:pPr>
            <w:r>
              <w:rPr>
                <w:rFonts w:ascii="Calibri" w:hAnsi="Calibri" w:cs="Calibri"/>
                <w:color w:val="9C0006"/>
                <w:sz w:val="22"/>
                <w:szCs w:val="22"/>
                <w:lang w:val="en-US"/>
              </w:rPr>
              <w:t>2</w:t>
            </w:r>
          </w:p>
        </w:tc>
        <w:tc>
          <w:tcPr>
            <w:tcW w:w="960" w:type="dxa"/>
            <w:shd w:val="clear" w:color="000000" w:fill="FFEB9C"/>
            <w:noWrap/>
            <w:vAlign w:val="bottom"/>
            <w:hideMark/>
          </w:tcPr>
          <w:p w14:paraId="0EE69270" w14:textId="7CECF2A7"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c>
          <w:tcPr>
            <w:tcW w:w="960" w:type="dxa"/>
            <w:shd w:val="clear" w:color="000000" w:fill="C6EFCE"/>
            <w:noWrap/>
            <w:vAlign w:val="bottom"/>
            <w:hideMark/>
          </w:tcPr>
          <w:p w14:paraId="3E8C8065" w14:textId="0C35FAB5" w:rsidR="00793E7B" w:rsidRPr="00793E7B" w:rsidRDefault="00793E7B" w:rsidP="00793E7B">
            <w:pPr>
              <w:spacing w:after="0"/>
              <w:jc w:val="right"/>
              <w:rPr>
                <w:rFonts w:ascii="Calibri" w:hAnsi="Calibri" w:cs="Calibri"/>
                <w:color w:val="006100"/>
                <w:sz w:val="22"/>
                <w:szCs w:val="22"/>
                <w:lang w:val="en-US"/>
              </w:rPr>
            </w:pPr>
            <w:r>
              <w:rPr>
                <w:rFonts w:ascii="Calibri" w:hAnsi="Calibri" w:cs="Calibri"/>
                <w:color w:val="006100"/>
                <w:sz w:val="22"/>
                <w:szCs w:val="22"/>
              </w:rPr>
              <w:t>2</w:t>
            </w:r>
          </w:p>
        </w:tc>
      </w:tr>
      <w:tr w:rsidR="00793E7B" w:rsidRPr="00793E7B" w14:paraId="0BC7C1F7" w14:textId="77777777" w:rsidTr="00793E7B">
        <w:trPr>
          <w:trHeight w:val="300"/>
          <w:jc w:val="center"/>
        </w:trPr>
        <w:tc>
          <w:tcPr>
            <w:tcW w:w="960" w:type="dxa"/>
            <w:shd w:val="clear" w:color="000000" w:fill="FFEB9C"/>
            <w:noWrap/>
            <w:vAlign w:val="bottom"/>
            <w:hideMark/>
          </w:tcPr>
          <w:p w14:paraId="715F0C44" w14:textId="5910752A"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lang w:val="en-US"/>
              </w:rPr>
              <w:t>2</w:t>
            </w:r>
          </w:p>
        </w:tc>
        <w:tc>
          <w:tcPr>
            <w:tcW w:w="960" w:type="dxa"/>
            <w:shd w:val="clear" w:color="000000" w:fill="FFEB9C"/>
            <w:noWrap/>
            <w:vAlign w:val="bottom"/>
            <w:hideMark/>
          </w:tcPr>
          <w:p w14:paraId="66668ACE" w14:textId="2DC7A1A8"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c>
          <w:tcPr>
            <w:tcW w:w="960" w:type="dxa"/>
            <w:shd w:val="clear" w:color="000000" w:fill="FFEB9C"/>
            <w:noWrap/>
            <w:vAlign w:val="bottom"/>
            <w:hideMark/>
          </w:tcPr>
          <w:p w14:paraId="06E7F5A7" w14:textId="56994833"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r>
      <w:tr w:rsidR="00793E7B" w:rsidRPr="00793E7B" w14:paraId="64FC897B" w14:textId="77777777" w:rsidTr="00793E7B">
        <w:trPr>
          <w:trHeight w:val="300"/>
          <w:jc w:val="center"/>
        </w:trPr>
        <w:tc>
          <w:tcPr>
            <w:tcW w:w="960" w:type="dxa"/>
            <w:shd w:val="clear" w:color="000000" w:fill="FFEB9C"/>
            <w:noWrap/>
            <w:vAlign w:val="bottom"/>
            <w:hideMark/>
          </w:tcPr>
          <w:p w14:paraId="0968E059" w14:textId="2BEECF4B"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lang w:val="en-US"/>
              </w:rPr>
              <w:t>2</w:t>
            </w:r>
          </w:p>
        </w:tc>
        <w:tc>
          <w:tcPr>
            <w:tcW w:w="960" w:type="dxa"/>
            <w:shd w:val="clear" w:color="000000" w:fill="FFEB9C"/>
            <w:noWrap/>
            <w:vAlign w:val="bottom"/>
            <w:hideMark/>
          </w:tcPr>
          <w:p w14:paraId="177371FA" w14:textId="0D748B18"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c>
          <w:tcPr>
            <w:tcW w:w="960" w:type="dxa"/>
            <w:shd w:val="clear" w:color="000000" w:fill="FFEB9C"/>
            <w:noWrap/>
            <w:vAlign w:val="bottom"/>
            <w:hideMark/>
          </w:tcPr>
          <w:p w14:paraId="42E84DC6" w14:textId="60C467A6"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r>
      <w:tr w:rsidR="00793E7B" w:rsidRPr="00793E7B" w14:paraId="10715E4D" w14:textId="77777777" w:rsidTr="00793E7B">
        <w:trPr>
          <w:trHeight w:val="300"/>
          <w:jc w:val="center"/>
        </w:trPr>
        <w:tc>
          <w:tcPr>
            <w:tcW w:w="960" w:type="dxa"/>
            <w:shd w:val="clear" w:color="000000" w:fill="FFEB9C"/>
            <w:noWrap/>
            <w:vAlign w:val="bottom"/>
            <w:hideMark/>
          </w:tcPr>
          <w:p w14:paraId="47332ABF" w14:textId="420CFC81"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lang w:val="en-US"/>
              </w:rPr>
              <w:t>2</w:t>
            </w:r>
          </w:p>
        </w:tc>
        <w:tc>
          <w:tcPr>
            <w:tcW w:w="960" w:type="dxa"/>
            <w:shd w:val="clear" w:color="000000" w:fill="FFEB9C"/>
            <w:noWrap/>
            <w:vAlign w:val="bottom"/>
            <w:hideMark/>
          </w:tcPr>
          <w:p w14:paraId="10FBACEB" w14:textId="2DE35242"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c>
          <w:tcPr>
            <w:tcW w:w="960" w:type="dxa"/>
            <w:shd w:val="clear" w:color="000000" w:fill="FFEB9C"/>
            <w:noWrap/>
            <w:vAlign w:val="bottom"/>
            <w:hideMark/>
          </w:tcPr>
          <w:p w14:paraId="22256A72" w14:textId="684EC3D2"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r>
      <w:tr w:rsidR="00793E7B" w:rsidRPr="00793E7B" w14:paraId="052E136A" w14:textId="77777777" w:rsidTr="00793E7B">
        <w:trPr>
          <w:trHeight w:val="300"/>
          <w:jc w:val="center"/>
        </w:trPr>
        <w:tc>
          <w:tcPr>
            <w:tcW w:w="960" w:type="dxa"/>
            <w:shd w:val="clear" w:color="000000" w:fill="FFEB9C"/>
            <w:noWrap/>
            <w:vAlign w:val="bottom"/>
            <w:hideMark/>
          </w:tcPr>
          <w:p w14:paraId="683B5D01" w14:textId="329700D0"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lang w:val="en-US"/>
              </w:rPr>
              <w:t>2</w:t>
            </w:r>
          </w:p>
        </w:tc>
        <w:tc>
          <w:tcPr>
            <w:tcW w:w="960" w:type="dxa"/>
            <w:shd w:val="clear" w:color="000000" w:fill="FFEB9C"/>
            <w:noWrap/>
            <w:vAlign w:val="bottom"/>
            <w:hideMark/>
          </w:tcPr>
          <w:p w14:paraId="486BCF92" w14:textId="572F8063"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c>
          <w:tcPr>
            <w:tcW w:w="960" w:type="dxa"/>
            <w:shd w:val="clear" w:color="000000" w:fill="FFEB9C"/>
            <w:noWrap/>
            <w:vAlign w:val="bottom"/>
            <w:hideMark/>
          </w:tcPr>
          <w:p w14:paraId="6B06F691" w14:textId="1C194FA1"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r>
      <w:tr w:rsidR="00793E7B" w:rsidRPr="00793E7B" w14:paraId="2E545BEF" w14:textId="77777777" w:rsidTr="00793E7B">
        <w:trPr>
          <w:trHeight w:val="300"/>
          <w:jc w:val="center"/>
        </w:trPr>
        <w:tc>
          <w:tcPr>
            <w:tcW w:w="960" w:type="dxa"/>
            <w:shd w:val="clear" w:color="000000" w:fill="FFEB9C"/>
            <w:noWrap/>
            <w:vAlign w:val="bottom"/>
            <w:hideMark/>
          </w:tcPr>
          <w:p w14:paraId="53AB6B00" w14:textId="36FF6B3D"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lang w:val="en-US"/>
              </w:rPr>
              <w:t>2</w:t>
            </w:r>
          </w:p>
        </w:tc>
        <w:tc>
          <w:tcPr>
            <w:tcW w:w="960" w:type="dxa"/>
            <w:shd w:val="clear" w:color="000000" w:fill="FFEB9C"/>
            <w:noWrap/>
            <w:vAlign w:val="bottom"/>
            <w:hideMark/>
          </w:tcPr>
          <w:p w14:paraId="7234C041" w14:textId="17FC8C9F"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c>
          <w:tcPr>
            <w:tcW w:w="960" w:type="dxa"/>
            <w:shd w:val="clear" w:color="000000" w:fill="FFEB9C"/>
            <w:noWrap/>
            <w:vAlign w:val="bottom"/>
            <w:hideMark/>
          </w:tcPr>
          <w:p w14:paraId="6CC074F9" w14:textId="229FFAAB"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r>
    </w:tbl>
    <w:p w14:paraId="71AE4016" w14:textId="44DD709F" w:rsidR="00793E7B" w:rsidRDefault="00793E7B" w:rsidP="00E61735">
      <w:pPr>
        <w:rPr>
          <w:lang w:eastAsia="x-none"/>
        </w:rPr>
      </w:pPr>
    </w:p>
    <w:p w14:paraId="7E365B80" w14:textId="26F1B5B9" w:rsidR="00793E7B" w:rsidRDefault="00793E7B" w:rsidP="00E61735">
      <w:pPr>
        <w:rPr>
          <w:lang w:eastAsia="x-none"/>
        </w:rPr>
      </w:pPr>
      <w:r>
        <w:rPr>
          <w:lang w:eastAsia="x-none"/>
        </w:rPr>
        <w:t xml:space="preserve">This approach, however, does not work, since the </w:t>
      </w:r>
      <w:proofErr w:type="spellStart"/>
      <w:r w:rsidR="00752E7F">
        <w:rPr>
          <w:lang w:eastAsia="x-none"/>
        </w:rPr>
        <w:t>eNB</w:t>
      </w:r>
      <w:proofErr w:type="spellEnd"/>
      <w:r w:rsidR="00752E7F">
        <w:rPr>
          <w:lang w:eastAsia="x-none"/>
        </w:rPr>
        <w:t xml:space="preserve"> still needs to transmit CRS in the “blanked” PRB, whose </w:t>
      </w:r>
      <w:r>
        <w:rPr>
          <w:lang w:eastAsia="x-none"/>
        </w:rPr>
        <w:t>nominal power allocation is as follows (to keep a constant power per symbol):</w:t>
      </w:r>
    </w:p>
    <w:p w14:paraId="54C1DDFE" w14:textId="46973117" w:rsidR="00793E7B" w:rsidRDefault="00793E7B" w:rsidP="00793E7B">
      <w:pPr>
        <w:pStyle w:val="Caption"/>
        <w:keepNext/>
        <w:jc w:val="center"/>
      </w:pPr>
      <w:r>
        <w:t xml:space="preserve">Table </w:t>
      </w:r>
      <w:fldSimple w:instr=" SEQ Table \* ARABIC ">
        <w:r w:rsidR="00752E7F">
          <w:rPr>
            <w:noProof/>
          </w:rPr>
          <w:t>2</w:t>
        </w:r>
      </w:fldSimple>
      <w:r>
        <w:t xml:space="preserve"> Nominal p</w:t>
      </w:r>
      <w:r>
        <w:t xml:space="preserve">ower allocation </w:t>
      </w:r>
      <w:r>
        <w:t xml:space="preserve">for an RB with PDSCH </w:t>
      </w:r>
      <w:r>
        <w:t xml:space="preserve">(red: CRS, </w:t>
      </w:r>
      <w:r w:rsidR="00752E7F">
        <w:t>orange</w:t>
      </w:r>
      <w:r>
        <w:t>: PDSCH)</w:t>
      </w:r>
    </w:p>
    <w:tbl>
      <w:tblPr>
        <w:tblW w:w="2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tblGrid>
      <w:tr w:rsidR="00793E7B" w:rsidRPr="00793E7B" w14:paraId="7A048DF3" w14:textId="77777777" w:rsidTr="00752E7F">
        <w:trPr>
          <w:trHeight w:val="300"/>
          <w:jc w:val="center"/>
        </w:trPr>
        <w:tc>
          <w:tcPr>
            <w:tcW w:w="960" w:type="dxa"/>
            <w:shd w:val="clear" w:color="000000" w:fill="FFC7CE"/>
            <w:noWrap/>
            <w:vAlign w:val="bottom"/>
            <w:hideMark/>
          </w:tcPr>
          <w:p w14:paraId="584368DE" w14:textId="77777777" w:rsidR="00793E7B" w:rsidRPr="00793E7B" w:rsidRDefault="00793E7B" w:rsidP="00793E7B">
            <w:pPr>
              <w:spacing w:after="0"/>
              <w:jc w:val="right"/>
              <w:rPr>
                <w:rFonts w:ascii="Calibri" w:hAnsi="Calibri" w:cs="Calibri"/>
                <w:color w:val="9C0006"/>
                <w:sz w:val="22"/>
                <w:szCs w:val="22"/>
                <w:lang w:val="en-US"/>
              </w:rPr>
            </w:pPr>
            <w:r w:rsidRPr="00793E7B">
              <w:rPr>
                <w:rFonts w:ascii="Calibri" w:hAnsi="Calibri" w:cs="Calibri"/>
                <w:color w:val="9C0006"/>
                <w:sz w:val="22"/>
                <w:szCs w:val="22"/>
                <w:lang w:val="en-US"/>
              </w:rPr>
              <w:t>2</w:t>
            </w:r>
          </w:p>
        </w:tc>
        <w:tc>
          <w:tcPr>
            <w:tcW w:w="960" w:type="dxa"/>
            <w:shd w:val="clear" w:color="auto" w:fill="F7CAAC" w:themeFill="accent2" w:themeFillTint="66"/>
            <w:noWrap/>
            <w:vAlign w:val="bottom"/>
            <w:hideMark/>
          </w:tcPr>
          <w:p w14:paraId="2D1AFB18"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c>
          <w:tcPr>
            <w:tcW w:w="960" w:type="dxa"/>
            <w:shd w:val="clear" w:color="auto" w:fill="F7CAAC" w:themeFill="accent2" w:themeFillTint="66"/>
            <w:noWrap/>
            <w:vAlign w:val="bottom"/>
            <w:hideMark/>
          </w:tcPr>
          <w:p w14:paraId="7F1F9784"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r>
      <w:tr w:rsidR="00793E7B" w:rsidRPr="00793E7B" w14:paraId="6F3AEED1" w14:textId="77777777" w:rsidTr="00752E7F">
        <w:trPr>
          <w:trHeight w:val="300"/>
          <w:jc w:val="center"/>
        </w:trPr>
        <w:tc>
          <w:tcPr>
            <w:tcW w:w="960" w:type="dxa"/>
            <w:shd w:val="clear" w:color="auto" w:fill="F7CAAC" w:themeFill="accent2" w:themeFillTint="66"/>
            <w:noWrap/>
            <w:vAlign w:val="bottom"/>
            <w:hideMark/>
          </w:tcPr>
          <w:p w14:paraId="1BC68BCE"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0.8</w:t>
            </w:r>
          </w:p>
        </w:tc>
        <w:tc>
          <w:tcPr>
            <w:tcW w:w="960" w:type="dxa"/>
            <w:shd w:val="clear" w:color="auto" w:fill="F7CAAC" w:themeFill="accent2" w:themeFillTint="66"/>
            <w:noWrap/>
            <w:vAlign w:val="bottom"/>
            <w:hideMark/>
          </w:tcPr>
          <w:p w14:paraId="2AEE204D"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c>
          <w:tcPr>
            <w:tcW w:w="960" w:type="dxa"/>
            <w:shd w:val="clear" w:color="auto" w:fill="F7CAAC" w:themeFill="accent2" w:themeFillTint="66"/>
            <w:noWrap/>
            <w:vAlign w:val="bottom"/>
            <w:hideMark/>
          </w:tcPr>
          <w:p w14:paraId="0C59E1DF"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r>
      <w:tr w:rsidR="00793E7B" w:rsidRPr="00793E7B" w14:paraId="31E9D81A" w14:textId="77777777" w:rsidTr="00752E7F">
        <w:trPr>
          <w:trHeight w:val="300"/>
          <w:jc w:val="center"/>
        </w:trPr>
        <w:tc>
          <w:tcPr>
            <w:tcW w:w="960" w:type="dxa"/>
            <w:shd w:val="clear" w:color="auto" w:fill="F7CAAC" w:themeFill="accent2" w:themeFillTint="66"/>
            <w:noWrap/>
            <w:vAlign w:val="bottom"/>
            <w:hideMark/>
          </w:tcPr>
          <w:p w14:paraId="42E8BAB7"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0.8</w:t>
            </w:r>
          </w:p>
        </w:tc>
        <w:tc>
          <w:tcPr>
            <w:tcW w:w="960" w:type="dxa"/>
            <w:shd w:val="clear" w:color="auto" w:fill="F7CAAC" w:themeFill="accent2" w:themeFillTint="66"/>
            <w:noWrap/>
            <w:vAlign w:val="bottom"/>
            <w:hideMark/>
          </w:tcPr>
          <w:p w14:paraId="754FE2CE"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c>
          <w:tcPr>
            <w:tcW w:w="960" w:type="dxa"/>
            <w:shd w:val="clear" w:color="auto" w:fill="F7CAAC" w:themeFill="accent2" w:themeFillTint="66"/>
            <w:noWrap/>
            <w:vAlign w:val="bottom"/>
            <w:hideMark/>
          </w:tcPr>
          <w:p w14:paraId="14BD015C"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r>
      <w:tr w:rsidR="00793E7B" w:rsidRPr="00793E7B" w14:paraId="17996C7D" w14:textId="77777777" w:rsidTr="00752E7F">
        <w:trPr>
          <w:trHeight w:val="300"/>
          <w:jc w:val="center"/>
        </w:trPr>
        <w:tc>
          <w:tcPr>
            <w:tcW w:w="960" w:type="dxa"/>
            <w:shd w:val="clear" w:color="auto" w:fill="F7CAAC" w:themeFill="accent2" w:themeFillTint="66"/>
            <w:noWrap/>
            <w:vAlign w:val="bottom"/>
            <w:hideMark/>
          </w:tcPr>
          <w:p w14:paraId="73142154"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lastRenderedPageBreak/>
              <w:t>0.8</w:t>
            </w:r>
          </w:p>
        </w:tc>
        <w:tc>
          <w:tcPr>
            <w:tcW w:w="960" w:type="dxa"/>
            <w:shd w:val="clear" w:color="auto" w:fill="F7CAAC" w:themeFill="accent2" w:themeFillTint="66"/>
            <w:noWrap/>
            <w:vAlign w:val="bottom"/>
            <w:hideMark/>
          </w:tcPr>
          <w:p w14:paraId="664F8315"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c>
          <w:tcPr>
            <w:tcW w:w="960" w:type="dxa"/>
            <w:shd w:val="clear" w:color="auto" w:fill="F7CAAC" w:themeFill="accent2" w:themeFillTint="66"/>
            <w:noWrap/>
            <w:vAlign w:val="bottom"/>
            <w:hideMark/>
          </w:tcPr>
          <w:p w14:paraId="1364A84E"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r>
      <w:tr w:rsidR="00793E7B" w:rsidRPr="00793E7B" w14:paraId="3CA35593" w14:textId="77777777" w:rsidTr="00752E7F">
        <w:trPr>
          <w:trHeight w:val="300"/>
          <w:jc w:val="center"/>
        </w:trPr>
        <w:tc>
          <w:tcPr>
            <w:tcW w:w="960" w:type="dxa"/>
            <w:shd w:val="clear" w:color="auto" w:fill="F7CAAC" w:themeFill="accent2" w:themeFillTint="66"/>
            <w:noWrap/>
            <w:vAlign w:val="bottom"/>
            <w:hideMark/>
          </w:tcPr>
          <w:p w14:paraId="73E3BB11"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0.8</w:t>
            </w:r>
          </w:p>
        </w:tc>
        <w:tc>
          <w:tcPr>
            <w:tcW w:w="960" w:type="dxa"/>
            <w:shd w:val="clear" w:color="auto" w:fill="F7CAAC" w:themeFill="accent2" w:themeFillTint="66"/>
            <w:noWrap/>
            <w:vAlign w:val="bottom"/>
            <w:hideMark/>
          </w:tcPr>
          <w:p w14:paraId="028C7C35"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c>
          <w:tcPr>
            <w:tcW w:w="960" w:type="dxa"/>
            <w:shd w:val="clear" w:color="auto" w:fill="F7CAAC" w:themeFill="accent2" w:themeFillTint="66"/>
            <w:noWrap/>
            <w:vAlign w:val="bottom"/>
            <w:hideMark/>
          </w:tcPr>
          <w:p w14:paraId="6285A8A3"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r>
      <w:tr w:rsidR="00793E7B" w:rsidRPr="00793E7B" w14:paraId="4463DA7B" w14:textId="77777777" w:rsidTr="00752E7F">
        <w:trPr>
          <w:trHeight w:val="300"/>
          <w:jc w:val="center"/>
        </w:trPr>
        <w:tc>
          <w:tcPr>
            <w:tcW w:w="960" w:type="dxa"/>
            <w:shd w:val="clear" w:color="auto" w:fill="F7CAAC" w:themeFill="accent2" w:themeFillTint="66"/>
            <w:noWrap/>
            <w:vAlign w:val="bottom"/>
            <w:hideMark/>
          </w:tcPr>
          <w:p w14:paraId="6116C982"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0.8</w:t>
            </w:r>
          </w:p>
        </w:tc>
        <w:tc>
          <w:tcPr>
            <w:tcW w:w="960" w:type="dxa"/>
            <w:shd w:val="clear" w:color="auto" w:fill="F7CAAC" w:themeFill="accent2" w:themeFillTint="66"/>
            <w:noWrap/>
            <w:vAlign w:val="bottom"/>
            <w:hideMark/>
          </w:tcPr>
          <w:p w14:paraId="423D69A7"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c>
          <w:tcPr>
            <w:tcW w:w="960" w:type="dxa"/>
            <w:shd w:val="clear" w:color="auto" w:fill="F7CAAC" w:themeFill="accent2" w:themeFillTint="66"/>
            <w:noWrap/>
            <w:vAlign w:val="bottom"/>
            <w:hideMark/>
          </w:tcPr>
          <w:p w14:paraId="490AF4F3"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r>
      <w:tr w:rsidR="00793E7B" w:rsidRPr="00793E7B" w14:paraId="54AFC408" w14:textId="77777777" w:rsidTr="00752E7F">
        <w:trPr>
          <w:trHeight w:val="300"/>
          <w:jc w:val="center"/>
        </w:trPr>
        <w:tc>
          <w:tcPr>
            <w:tcW w:w="960" w:type="dxa"/>
            <w:shd w:val="clear" w:color="000000" w:fill="FFC7CE"/>
            <w:noWrap/>
            <w:vAlign w:val="bottom"/>
            <w:hideMark/>
          </w:tcPr>
          <w:p w14:paraId="45C1701C" w14:textId="77777777" w:rsidR="00793E7B" w:rsidRPr="00793E7B" w:rsidRDefault="00793E7B" w:rsidP="00793E7B">
            <w:pPr>
              <w:spacing w:after="0"/>
              <w:jc w:val="right"/>
              <w:rPr>
                <w:rFonts w:ascii="Calibri" w:hAnsi="Calibri" w:cs="Calibri"/>
                <w:color w:val="9C0006"/>
                <w:sz w:val="22"/>
                <w:szCs w:val="22"/>
                <w:lang w:val="en-US"/>
              </w:rPr>
            </w:pPr>
            <w:r w:rsidRPr="00793E7B">
              <w:rPr>
                <w:rFonts w:ascii="Calibri" w:hAnsi="Calibri" w:cs="Calibri"/>
                <w:color w:val="9C0006"/>
                <w:sz w:val="22"/>
                <w:szCs w:val="22"/>
                <w:lang w:val="en-US"/>
              </w:rPr>
              <w:t>2</w:t>
            </w:r>
          </w:p>
        </w:tc>
        <w:tc>
          <w:tcPr>
            <w:tcW w:w="960" w:type="dxa"/>
            <w:shd w:val="clear" w:color="auto" w:fill="F7CAAC" w:themeFill="accent2" w:themeFillTint="66"/>
            <w:noWrap/>
            <w:vAlign w:val="bottom"/>
            <w:hideMark/>
          </w:tcPr>
          <w:p w14:paraId="28F6AA54"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c>
          <w:tcPr>
            <w:tcW w:w="960" w:type="dxa"/>
            <w:shd w:val="clear" w:color="auto" w:fill="F7CAAC" w:themeFill="accent2" w:themeFillTint="66"/>
            <w:noWrap/>
            <w:vAlign w:val="bottom"/>
            <w:hideMark/>
          </w:tcPr>
          <w:p w14:paraId="19F12F49"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r>
      <w:tr w:rsidR="00793E7B" w:rsidRPr="00793E7B" w14:paraId="3F1E8FF5" w14:textId="77777777" w:rsidTr="00752E7F">
        <w:trPr>
          <w:trHeight w:val="300"/>
          <w:jc w:val="center"/>
        </w:trPr>
        <w:tc>
          <w:tcPr>
            <w:tcW w:w="960" w:type="dxa"/>
            <w:shd w:val="clear" w:color="auto" w:fill="F7CAAC" w:themeFill="accent2" w:themeFillTint="66"/>
            <w:noWrap/>
            <w:vAlign w:val="bottom"/>
            <w:hideMark/>
          </w:tcPr>
          <w:p w14:paraId="76004FCE"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0.8</w:t>
            </w:r>
          </w:p>
        </w:tc>
        <w:tc>
          <w:tcPr>
            <w:tcW w:w="960" w:type="dxa"/>
            <w:shd w:val="clear" w:color="auto" w:fill="F7CAAC" w:themeFill="accent2" w:themeFillTint="66"/>
            <w:noWrap/>
            <w:vAlign w:val="bottom"/>
            <w:hideMark/>
          </w:tcPr>
          <w:p w14:paraId="05027711"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c>
          <w:tcPr>
            <w:tcW w:w="960" w:type="dxa"/>
            <w:shd w:val="clear" w:color="auto" w:fill="F7CAAC" w:themeFill="accent2" w:themeFillTint="66"/>
            <w:noWrap/>
            <w:vAlign w:val="bottom"/>
            <w:hideMark/>
          </w:tcPr>
          <w:p w14:paraId="4A9E89F0"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r>
      <w:tr w:rsidR="00793E7B" w:rsidRPr="00793E7B" w14:paraId="4A257686" w14:textId="77777777" w:rsidTr="00752E7F">
        <w:trPr>
          <w:trHeight w:val="300"/>
          <w:jc w:val="center"/>
        </w:trPr>
        <w:tc>
          <w:tcPr>
            <w:tcW w:w="960" w:type="dxa"/>
            <w:shd w:val="clear" w:color="auto" w:fill="F7CAAC" w:themeFill="accent2" w:themeFillTint="66"/>
            <w:noWrap/>
            <w:vAlign w:val="bottom"/>
            <w:hideMark/>
          </w:tcPr>
          <w:p w14:paraId="128586B1"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0.8</w:t>
            </w:r>
          </w:p>
        </w:tc>
        <w:tc>
          <w:tcPr>
            <w:tcW w:w="960" w:type="dxa"/>
            <w:shd w:val="clear" w:color="auto" w:fill="F7CAAC" w:themeFill="accent2" w:themeFillTint="66"/>
            <w:noWrap/>
            <w:vAlign w:val="bottom"/>
            <w:hideMark/>
          </w:tcPr>
          <w:p w14:paraId="278D023A"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c>
          <w:tcPr>
            <w:tcW w:w="960" w:type="dxa"/>
            <w:shd w:val="clear" w:color="auto" w:fill="F7CAAC" w:themeFill="accent2" w:themeFillTint="66"/>
            <w:noWrap/>
            <w:vAlign w:val="bottom"/>
            <w:hideMark/>
          </w:tcPr>
          <w:p w14:paraId="679B4150"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r>
      <w:tr w:rsidR="00793E7B" w:rsidRPr="00793E7B" w14:paraId="3AE75134" w14:textId="77777777" w:rsidTr="00752E7F">
        <w:trPr>
          <w:trHeight w:val="300"/>
          <w:jc w:val="center"/>
        </w:trPr>
        <w:tc>
          <w:tcPr>
            <w:tcW w:w="960" w:type="dxa"/>
            <w:shd w:val="clear" w:color="auto" w:fill="F7CAAC" w:themeFill="accent2" w:themeFillTint="66"/>
            <w:noWrap/>
            <w:vAlign w:val="bottom"/>
            <w:hideMark/>
          </w:tcPr>
          <w:p w14:paraId="1A40D211"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0.8</w:t>
            </w:r>
          </w:p>
        </w:tc>
        <w:tc>
          <w:tcPr>
            <w:tcW w:w="960" w:type="dxa"/>
            <w:shd w:val="clear" w:color="auto" w:fill="F7CAAC" w:themeFill="accent2" w:themeFillTint="66"/>
            <w:noWrap/>
            <w:vAlign w:val="bottom"/>
            <w:hideMark/>
          </w:tcPr>
          <w:p w14:paraId="43C7926B"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c>
          <w:tcPr>
            <w:tcW w:w="960" w:type="dxa"/>
            <w:shd w:val="clear" w:color="auto" w:fill="F7CAAC" w:themeFill="accent2" w:themeFillTint="66"/>
            <w:noWrap/>
            <w:vAlign w:val="bottom"/>
            <w:hideMark/>
          </w:tcPr>
          <w:p w14:paraId="5A48EE35"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r>
      <w:tr w:rsidR="00793E7B" w:rsidRPr="00793E7B" w14:paraId="4265FBB3" w14:textId="77777777" w:rsidTr="00752E7F">
        <w:trPr>
          <w:trHeight w:val="300"/>
          <w:jc w:val="center"/>
        </w:trPr>
        <w:tc>
          <w:tcPr>
            <w:tcW w:w="960" w:type="dxa"/>
            <w:shd w:val="clear" w:color="auto" w:fill="F7CAAC" w:themeFill="accent2" w:themeFillTint="66"/>
            <w:noWrap/>
            <w:vAlign w:val="bottom"/>
            <w:hideMark/>
          </w:tcPr>
          <w:p w14:paraId="57230B96"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0.8</w:t>
            </w:r>
          </w:p>
        </w:tc>
        <w:tc>
          <w:tcPr>
            <w:tcW w:w="960" w:type="dxa"/>
            <w:shd w:val="clear" w:color="auto" w:fill="F7CAAC" w:themeFill="accent2" w:themeFillTint="66"/>
            <w:noWrap/>
            <w:vAlign w:val="bottom"/>
            <w:hideMark/>
          </w:tcPr>
          <w:p w14:paraId="76804F35"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c>
          <w:tcPr>
            <w:tcW w:w="960" w:type="dxa"/>
            <w:shd w:val="clear" w:color="auto" w:fill="F7CAAC" w:themeFill="accent2" w:themeFillTint="66"/>
            <w:noWrap/>
            <w:vAlign w:val="bottom"/>
            <w:hideMark/>
          </w:tcPr>
          <w:p w14:paraId="336B9CAA"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r>
      <w:tr w:rsidR="00793E7B" w:rsidRPr="00793E7B" w14:paraId="1E64CA6C" w14:textId="77777777" w:rsidTr="00752E7F">
        <w:trPr>
          <w:trHeight w:val="300"/>
          <w:jc w:val="center"/>
        </w:trPr>
        <w:tc>
          <w:tcPr>
            <w:tcW w:w="960" w:type="dxa"/>
            <w:shd w:val="clear" w:color="auto" w:fill="F7CAAC" w:themeFill="accent2" w:themeFillTint="66"/>
            <w:noWrap/>
            <w:vAlign w:val="bottom"/>
            <w:hideMark/>
          </w:tcPr>
          <w:p w14:paraId="5D75E8FA"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0.8</w:t>
            </w:r>
          </w:p>
        </w:tc>
        <w:tc>
          <w:tcPr>
            <w:tcW w:w="960" w:type="dxa"/>
            <w:shd w:val="clear" w:color="auto" w:fill="F7CAAC" w:themeFill="accent2" w:themeFillTint="66"/>
            <w:noWrap/>
            <w:vAlign w:val="bottom"/>
            <w:hideMark/>
          </w:tcPr>
          <w:p w14:paraId="0F77AEB1"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c>
          <w:tcPr>
            <w:tcW w:w="960" w:type="dxa"/>
            <w:shd w:val="clear" w:color="auto" w:fill="F7CAAC" w:themeFill="accent2" w:themeFillTint="66"/>
            <w:noWrap/>
            <w:vAlign w:val="bottom"/>
            <w:hideMark/>
          </w:tcPr>
          <w:p w14:paraId="7D75770B"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r>
    </w:tbl>
    <w:p w14:paraId="1B610627" w14:textId="77777777" w:rsidR="00793E7B" w:rsidRDefault="00793E7B" w:rsidP="00E61735">
      <w:pPr>
        <w:rPr>
          <w:lang w:eastAsia="x-none"/>
        </w:rPr>
      </w:pPr>
    </w:p>
    <w:p w14:paraId="473A695C" w14:textId="0F6DC8E4" w:rsidR="00793E7B" w:rsidRDefault="00793E7B" w:rsidP="00E61735">
      <w:pPr>
        <w:rPr>
          <w:lang w:eastAsia="x-none"/>
        </w:rPr>
      </w:pPr>
      <w:r>
        <w:rPr>
          <w:lang w:eastAsia="x-none"/>
        </w:rPr>
        <w:t xml:space="preserve">Thus, if the </w:t>
      </w:r>
      <w:proofErr w:type="spellStart"/>
      <w:r>
        <w:rPr>
          <w:lang w:eastAsia="x-none"/>
        </w:rPr>
        <w:t>eNB</w:t>
      </w:r>
      <w:proofErr w:type="spellEnd"/>
      <w:r>
        <w:rPr>
          <w:lang w:eastAsia="x-none"/>
        </w:rPr>
        <w:t xml:space="preserve"> “blanks” one LTE PRB to give that nominal power to NB-IoT, the power allocation </w:t>
      </w:r>
      <w:r w:rsidR="00634688">
        <w:rPr>
          <w:lang w:eastAsia="x-none"/>
        </w:rPr>
        <w:t xml:space="preserve">for NPDSCH </w:t>
      </w:r>
      <w:r>
        <w:rPr>
          <w:lang w:eastAsia="x-none"/>
        </w:rPr>
        <w:t xml:space="preserve">in the first symbol should be 1.6 </w:t>
      </w:r>
      <w:r w:rsidR="00634688">
        <w:rPr>
          <w:lang w:eastAsia="x-none"/>
        </w:rPr>
        <w:t xml:space="preserve">units </w:t>
      </w:r>
      <w:r>
        <w:rPr>
          <w:lang w:eastAsia="x-none"/>
        </w:rPr>
        <w:t>instead of 2</w:t>
      </w:r>
      <w:r w:rsidR="00752E7F">
        <w:rPr>
          <w:lang w:eastAsia="x-none"/>
        </w:rPr>
        <w:t>, such that the total power across 2 PRBs is kept constant</w:t>
      </w:r>
      <w:r w:rsidR="00634688">
        <w:rPr>
          <w:lang w:eastAsia="x-none"/>
        </w:rPr>
        <w:t xml:space="preserve">. This is </w:t>
      </w:r>
      <w:r w:rsidR="000115DA">
        <w:rPr>
          <w:lang w:eastAsia="x-none"/>
        </w:rPr>
        <w:t>because</w:t>
      </w:r>
      <w:r w:rsidR="00634688">
        <w:rPr>
          <w:lang w:eastAsia="x-none"/>
        </w:rPr>
        <w:t xml:space="preserve"> the</w:t>
      </w:r>
      <w:r w:rsidR="00752E7F">
        <w:rPr>
          <w:lang w:eastAsia="x-none"/>
        </w:rPr>
        <w:t xml:space="preserve"> “blanked” PRB still </w:t>
      </w:r>
      <w:proofErr w:type="gramStart"/>
      <w:r w:rsidR="00752E7F">
        <w:rPr>
          <w:lang w:eastAsia="x-none"/>
        </w:rPr>
        <w:t>has to</w:t>
      </w:r>
      <w:proofErr w:type="gramEnd"/>
      <w:r w:rsidR="00752E7F">
        <w:rPr>
          <w:lang w:eastAsia="x-none"/>
        </w:rPr>
        <w:t xml:space="preserve"> transmit CRS</w:t>
      </w:r>
      <w:r w:rsidR="00634688">
        <w:rPr>
          <w:lang w:eastAsia="x-none"/>
        </w:rPr>
        <w:t>, which is power boosted</w:t>
      </w:r>
      <w:r w:rsidR="00752E7F">
        <w:rPr>
          <w:lang w:eastAsia="x-none"/>
        </w:rPr>
        <w:t>:</w:t>
      </w:r>
    </w:p>
    <w:p w14:paraId="5B4B39CA" w14:textId="1EC85845" w:rsidR="00752E7F" w:rsidRDefault="00752E7F" w:rsidP="00752E7F">
      <w:pPr>
        <w:pStyle w:val="Caption"/>
        <w:keepNext/>
        <w:jc w:val="center"/>
      </w:pPr>
      <w:r>
        <w:t xml:space="preserve">Table </w:t>
      </w:r>
      <w:fldSimple w:instr=" SEQ Table \* ARABIC ">
        <w:r>
          <w:rPr>
            <w:noProof/>
          </w:rPr>
          <w:t>3</w:t>
        </w:r>
      </w:fldSimple>
      <w:r>
        <w:t xml:space="preserve"> Correct power allocation over 2 PRBs, where the PDSCH in LTE PRB is “blanked” and the corresponding power is allocated to NB-IoT NPDSCH/NRS</w:t>
      </w:r>
    </w:p>
    <w:tbl>
      <w:tblPr>
        <w:tblW w:w="3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960"/>
        <w:gridCol w:w="960"/>
        <w:gridCol w:w="960"/>
      </w:tblGrid>
      <w:tr w:rsidR="00752E7F" w:rsidRPr="00752E7F" w14:paraId="183E328A" w14:textId="77777777" w:rsidTr="00752E7F">
        <w:trPr>
          <w:trHeight w:val="300"/>
          <w:jc w:val="center"/>
        </w:trPr>
        <w:tc>
          <w:tcPr>
            <w:tcW w:w="960" w:type="dxa"/>
            <w:vMerge w:val="restart"/>
            <w:shd w:val="clear" w:color="auto" w:fill="FFFFFF" w:themeFill="background1"/>
          </w:tcPr>
          <w:p w14:paraId="5E460449" w14:textId="77777777" w:rsidR="00752E7F" w:rsidRDefault="00752E7F" w:rsidP="00752E7F">
            <w:pPr>
              <w:spacing w:after="0"/>
              <w:jc w:val="right"/>
              <w:rPr>
                <w:rFonts w:ascii="Calibri" w:hAnsi="Calibri" w:cs="Calibri"/>
                <w:sz w:val="22"/>
                <w:szCs w:val="22"/>
                <w:lang w:val="en-US"/>
              </w:rPr>
            </w:pPr>
          </w:p>
          <w:p w14:paraId="2FF25B34" w14:textId="77777777" w:rsidR="00752E7F" w:rsidRDefault="00752E7F" w:rsidP="00752E7F">
            <w:pPr>
              <w:spacing w:after="0"/>
              <w:jc w:val="right"/>
              <w:rPr>
                <w:rFonts w:ascii="Calibri" w:hAnsi="Calibri" w:cs="Calibri"/>
                <w:sz w:val="22"/>
                <w:szCs w:val="22"/>
                <w:lang w:val="en-US"/>
              </w:rPr>
            </w:pPr>
          </w:p>
          <w:p w14:paraId="76AD1ECE" w14:textId="77777777" w:rsidR="00752E7F" w:rsidRDefault="00752E7F" w:rsidP="00752E7F">
            <w:pPr>
              <w:spacing w:after="0"/>
              <w:jc w:val="right"/>
              <w:rPr>
                <w:rFonts w:ascii="Calibri" w:hAnsi="Calibri" w:cs="Calibri"/>
                <w:sz w:val="22"/>
                <w:szCs w:val="22"/>
                <w:lang w:val="en-US"/>
              </w:rPr>
            </w:pPr>
          </w:p>
          <w:p w14:paraId="5AA9B3B5" w14:textId="77777777" w:rsidR="00752E7F" w:rsidRDefault="00752E7F" w:rsidP="00752E7F">
            <w:pPr>
              <w:spacing w:after="0"/>
              <w:jc w:val="right"/>
              <w:rPr>
                <w:rFonts w:ascii="Calibri" w:hAnsi="Calibri" w:cs="Calibri"/>
                <w:sz w:val="22"/>
                <w:szCs w:val="22"/>
                <w:lang w:val="en-US"/>
              </w:rPr>
            </w:pPr>
          </w:p>
          <w:p w14:paraId="70425383" w14:textId="77777777" w:rsidR="00752E7F" w:rsidRDefault="00752E7F" w:rsidP="00752E7F">
            <w:pPr>
              <w:spacing w:after="0"/>
              <w:jc w:val="right"/>
              <w:rPr>
                <w:rFonts w:ascii="Calibri" w:hAnsi="Calibri" w:cs="Calibri"/>
                <w:sz w:val="22"/>
                <w:szCs w:val="22"/>
                <w:lang w:val="en-US"/>
              </w:rPr>
            </w:pPr>
          </w:p>
          <w:p w14:paraId="2F407FC6" w14:textId="3B60163F" w:rsidR="00752E7F" w:rsidRPr="00752E7F" w:rsidRDefault="00752E7F" w:rsidP="00752E7F">
            <w:pPr>
              <w:spacing w:after="0"/>
              <w:jc w:val="center"/>
              <w:rPr>
                <w:rFonts w:ascii="Calibri" w:hAnsi="Calibri" w:cs="Calibri"/>
                <w:sz w:val="22"/>
                <w:szCs w:val="22"/>
                <w:lang w:val="en-US"/>
              </w:rPr>
            </w:pPr>
            <w:r w:rsidRPr="00752E7F">
              <w:rPr>
                <w:rFonts w:ascii="Calibri" w:hAnsi="Calibri" w:cs="Calibri"/>
                <w:sz w:val="22"/>
                <w:szCs w:val="22"/>
                <w:lang w:val="en-US"/>
              </w:rPr>
              <w:t>NB-IoT PRB</w:t>
            </w:r>
          </w:p>
        </w:tc>
        <w:tc>
          <w:tcPr>
            <w:tcW w:w="960" w:type="dxa"/>
            <w:shd w:val="clear" w:color="000000" w:fill="FFC7CE"/>
            <w:noWrap/>
            <w:vAlign w:val="bottom"/>
            <w:hideMark/>
          </w:tcPr>
          <w:p w14:paraId="55839F12" w14:textId="756E9B16" w:rsidR="00752E7F" w:rsidRPr="00752E7F" w:rsidRDefault="00752E7F" w:rsidP="00752E7F">
            <w:pPr>
              <w:spacing w:after="0"/>
              <w:jc w:val="right"/>
              <w:rPr>
                <w:rFonts w:ascii="Calibri" w:hAnsi="Calibri" w:cs="Calibri"/>
                <w:color w:val="9C0006"/>
                <w:sz w:val="22"/>
                <w:szCs w:val="22"/>
                <w:lang w:val="en-US"/>
              </w:rPr>
            </w:pPr>
            <w:r w:rsidRPr="00752E7F">
              <w:rPr>
                <w:rFonts w:ascii="Calibri" w:hAnsi="Calibri" w:cs="Calibri"/>
                <w:color w:val="9C0006"/>
                <w:sz w:val="22"/>
                <w:szCs w:val="22"/>
                <w:lang w:val="en-US"/>
              </w:rPr>
              <w:t>2</w:t>
            </w:r>
          </w:p>
        </w:tc>
        <w:tc>
          <w:tcPr>
            <w:tcW w:w="960" w:type="dxa"/>
            <w:shd w:val="clear" w:color="000000" w:fill="FFEB9C"/>
            <w:noWrap/>
            <w:vAlign w:val="bottom"/>
            <w:hideMark/>
          </w:tcPr>
          <w:p w14:paraId="357A5692"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c>
          <w:tcPr>
            <w:tcW w:w="960" w:type="dxa"/>
            <w:shd w:val="clear" w:color="000000" w:fill="C6EFCE"/>
            <w:noWrap/>
            <w:vAlign w:val="bottom"/>
            <w:hideMark/>
          </w:tcPr>
          <w:p w14:paraId="3158017F" w14:textId="77777777" w:rsidR="00752E7F" w:rsidRPr="00752E7F" w:rsidRDefault="00752E7F" w:rsidP="00752E7F">
            <w:pPr>
              <w:spacing w:after="0"/>
              <w:jc w:val="right"/>
              <w:rPr>
                <w:rFonts w:ascii="Calibri" w:hAnsi="Calibri" w:cs="Calibri"/>
                <w:color w:val="006100"/>
                <w:sz w:val="22"/>
                <w:szCs w:val="22"/>
                <w:lang w:val="en-US"/>
              </w:rPr>
            </w:pPr>
            <w:r w:rsidRPr="00752E7F">
              <w:rPr>
                <w:rFonts w:ascii="Calibri" w:hAnsi="Calibri" w:cs="Calibri"/>
                <w:color w:val="006100"/>
                <w:sz w:val="22"/>
                <w:szCs w:val="22"/>
                <w:lang w:val="en-US"/>
              </w:rPr>
              <w:t>2</w:t>
            </w:r>
          </w:p>
        </w:tc>
      </w:tr>
      <w:tr w:rsidR="00752E7F" w:rsidRPr="00752E7F" w14:paraId="7670A78B" w14:textId="77777777" w:rsidTr="00752E7F">
        <w:trPr>
          <w:trHeight w:val="300"/>
          <w:jc w:val="center"/>
        </w:trPr>
        <w:tc>
          <w:tcPr>
            <w:tcW w:w="960" w:type="dxa"/>
            <w:vMerge/>
            <w:shd w:val="clear" w:color="auto" w:fill="FFFFFF" w:themeFill="background1"/>
          </w:tcPr>
          <w:p w14:paraId="3DC7CD05" w14:textId="77777777" w:rsidR="00752E7F" w:rsidRPr="00752E7F" w:rsidRDefault="00752E7F" w:rsidP="00752E7F">
            <w:pPr>
              <w:spacing w:after="0"/>
              <w:jc w:val="right"/>
              <w:rPr>
                <w:rFonts w:ascii="Calibri" w:hAnsi="Calibri" w:cs="Calibri"/>
                <w:sz w:val="22"/>
                <w:szCs w:val="22"/>
                <w:lang w:val="en-US"/>
              </w:rPr>
            </w:pPr>
          </w:p>
        </w:tc>
        <w:tc>
          <w:tcPr>
            <w:tcW w:w="960" w:type="dxa"/>
            <w:shd w:val="clear" w:color="000000" w:fill="FFEB9C"/>
            <w:noWrap/>
            <w:vAlign w:val="bottom"/>
            <w:hideMark/>
          </w:tcPr>
          <w:p w14:paraId="2525A3F6" w14:textId="58728E3E"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1.6</w:t>
            </w:r>
          </w:p>
        </w:tc>
        <w:tc>
          <w:tcPr>
            <w:tcW w:w="960" w:type="dxa"/>
            <w:shd w:val="clear" w:color="000000" w:fill="FFEB9C"/>
            <w:noWrap/>
            <w:vAlign w:val="bottom"/>
            <w:hideMark/>
          </w:tcPr>
          <w:p w14:paraId="300FE750"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c>
          <w:tcPr>
            <w:tcW w:w="960" w:type="dxa"/>
            <w:shd w:val="clear" w:color="000000" w:fill="FFEB9C"/>
            <w:noWrap/>
            <w:vAlign w:val="bottom"/>
            <w:hideMark/>
          </w:tcPr>
          <w:p w14:paraId="6D29C4D2"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r>
      <w:tr w:rsidR="00752E7F" w:rsidRPr="00752E7F" w14:paraId="0293074F" w14:textId="77777777" w:rsidTr="00752E7F">
        <w:trPr>
          <w:trHeight w:val="300"/>
          <w:jc w:val="center"/>
        </w:trPr>
        <w:tc>
          <w:tcPr>
            <w:tcW w:w="960" w:type="dxa"/>
            <w:vMerge/>
            <w:shd w:val="clear" w:color="auto" w:fill="FFFFFF" w:themeFill="background1"/>
          </w:tcPr>
          <w:p w14:paraId="6B1C87AB" w14:textId="77777777" w:rsidR="00752E7F" w:rsidRPr="00752E7F" w:rsidRDefault="00752E7F" w:rsidP="00752E7F">
            <w:pPr>
              <w:spacing w:after="0"/>
              <w:jc w:val="right"/>
              <w:rPr>
                <w:rFonts w:ascii="Calibri" w:hAnsi="Calibri" w:cs="Calibri"/>
                <w:sz w:val="22"/>
                <w:szCs w:val="22"/>
                <w:lang w:val="en-US"/>
              </w:rPr>
            </w:pPr>
          </w:p>
        </w:tc>
        <w:tc>
          <w:tcPr>
            <w:tcW w:w="960" w:type="dxa"/>
            <w:shd w:val="clear" w:color="000000" w:fill="FFEB9C"/>
            <w:noWrap/>
            <w:vAlign w:val="bottom"/>
            <w:hideMark/>
          </w:tcPr>
          <w:p w14:paraId="5AD8780E" w14:textId="35111341"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1.6</w:t>
            </w:r>
          </w:p>
        </w:tc>
        <w:tc>
          <w:tcPr>
            <w:tcW w:w="960" w:type="dxa"/>
            <w:shd w:val="clear" w:color="000000" w:fill="FFEB9C"/>
            <w:noWrap/>
            <w:vAlign w:val="bottom"/>
            <w:hideMark/>
          </w:tcPr>
          <w:p w14:paraId="3D8294F7"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c>
          <w:tcPr>
            <w:tcW w:w="960" w:type="dxa"/>
            <w:shd w:val="clear" w:color="000000" w:fill="FFEB9C"/>
            <w:noWrap/>
            <w:vAlign w:val="bottom"/>
            <w:hideMark/>
          </w:tcPr>
          <w:p w14:paraId="5599A670"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r>
      <w:tr w:rsidR="00752E7F" w:rsidRPr="00752E7F" w14:paraId="37E33663" w14:textId="77777777" w:rsidTr="00752E7F">
        <w:trPr>
          <w:trHeight w:val="300"/>
          <w:jc w:val="center"/>
        </w:trPr>
        <w:tc>
          <w:tcPr>
            <w:tcW w:w="960" w:type="dxa"/>
            <w:vMerge/>
            <w:shd w:val="clear" w:color="auto" w:fill="FFFFFF" w:themeFill="background1"/>
          </w:tcPr>
          <w:p w14:paraId="10F05A95" w14:textId="77777777" w:rsidR="00752E7F" w:rsidRPr="00752E7F" w:rsidRDefault="00752E7F" w:rsidP="00752E7F">
            <w:pPr>
              <w:spacing w:after="0"/>
              <w:jc w:val="right"/>
              <w:rPr>
                <w:rFonts w:ascii="Calibri" w:hAnsi="Calibri" w:cs="Calibri"/>
                <w:sz w:val="22"/>
                <w:szCs w:val="22"/>
                <w:lang w:val="en-US"/>
              </w:rPr>
            </w:pPr>
          </w:p>
        </w:tc>
        <w:tc>
          <w:tcPr>
            <w:tcW w:w="960" w:type="dxa"/>
            <w:shd w:val="clear" w:color="000000" w:fill="FFEB9C"/>
            <w:noWrap/>
            <w:vAlign w:val="bottom"/>
            <w:hideMark/>
          </w:tcPr>
          <w:p w14:paraId="5D8C1566" w14:textId="408D89E8"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1.6</w:t>
            </w:r>
          </w:p>
        </w:tc>
        <w:tc>
          <w:tcPr>
            <w:tcW w:w="960" w:type="dxa"/>
            <w:shd w:val="clear" w:color="000000" w:fill="FFEB9C"/>
            <w:noWrap/>
            <w:vAlign w:val="bottom"/>
            <w:hideMark/>
          </w:tcPr>
          <w:p w14:paraId="621DD0A2"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c>
          <w:tcPr>
            <w:tcW w:w="960" w:type="dxa"/>
            <w:shd w:val="clear" w:color="000000" w:fill="FFEB9C"/>
            <w:noWrap/>
            <w:vAlign w:val="bottom"/>
            <w:hideMark/>
          </w:tcPr>
          <w:p w14:paraId="2CD9BAE2"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r>
      <w:tr w:rsidR="00752E7F" w:rsidRPr="00752E7F" w14:paraId="40481038" w14:textId="77777777" w:rsidTr="00752E7F">
        <w:trPr>
          <w:trHeight w:val="300"/>
          <w:jc w:val="center"/>
        </w:trPr>
        <w:tc>
          <w:tcPr>
            <w:tcW w:w="960" w:type="dxa"/>
            <w:vMerge/>
            <w:shd w:val="clear" w:color="auto" w:fill="FFFFFF" w:themeFill="background1"/>
          </w:tcPr>
          <w:p w14:paraId="0F861BAE" w14:textId="77777777" w:rsidR="00752E7F" w:rsidRPr="00752E7F" w:rsidRDefault="00752E7F" w:rsidP="00752E7F">
            <w:pPr>
              <w:spacing w:after="0"/>
              <w:jc w:val="right"/>
              <w:rPr>
                <w:rFonts w:ascii="Calibri" w:hAnsi="Calibri" w:cs="Calibri"/>
                <w:sz w:val="22"/>
                <w:szCs w:val="22"/>
                <w:lang w:val="en-US"/>
              </w:rPr>
            </w:pPr>
          </w:p>
        </w:tc>
        <w:tc>
          <w:tcPr>
            <w:tcW w:w="960" w:type="dxa"/>
            <w:shd w:val="clear" w:color="000000" w:fill="FFEB9C"/>
            <w:noWrap/>
            <w:vAlign w:val="bottom"/>
            <w:hideMark/>
          </w:tcPr>
          <w:p w14:paraId="22AA35FB" w14:textId="6FCFBCAD"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1.6</w:t>
            </w:r>
          </w:p>
        </w:tc>
        <w:tc>
          <w:tcPr>
            <w:tcW w:w="960" w:type="dxa"/>
            <w:shd w:val="clear" w:color="000000" w:fill="FFEB9C"/>
            <w:noWrap/>
            <w:vAlign w:val="bottom"/>
            <w:hideMark/>
          </w:tcPr>
          <w:p w14:paraId="76E592A1"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c>
          <w:tcPr>
            <w:tcW w:w="960" w:type="dxa"/>
            <w:shd w:val="clear" w:color="000000" w:fill="FFEB9C"/>
            <w:noWrap/>
            <w:vAlign w:val="bottom"/>
            <w:hideMark/>
          </w:tcPr>
          <w:p w14:paraId="60373062"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r>
      <w:tr w:rsidR="00752E7F" w:rsidRPr="00752E7F" w14:paraId="6E132B20" w14:textId="77777777" w:rsidTr="00752E7F">
        <w:trPr>
          <w:trHeight w:val="300"/>
          <w:jc w:val="center"/>
        </w:trPr>
        <w:tc>
          <w:tcPr>
            <w:tcW w:w="960" w:type="dxa"/>
            <w:vMerge/>
            <w:shd w:val="clear" w:color="auto" w:fill="FFFFFF" w:themeFill="background1"/>
          </w:tcPr>
          <w:p w14:paraId="1439ABD1" w14:textId="77777777" w:rsidR="00752E7F" w:rsidRPr="00752E7F" w:rsidRDefault="00752E7F" w:rsidP="00752E7F">
            <w:pPr>
              <w:spacing w:after="0"/>
              <w:jc w:val="right"/>
              <w:rPr>
                <w:rFonts w:ascii="Calibri" w:hAnsi="Calibri" w:cs="Calibri"/>
                <w:sz w:val="22"/>
                <w:szCs w:val="22"/>
                <w:lang w:val="en-US"/>
              </w:rPr>
            </w:pPr>
          </w:p>
        </w:tc>
        <w:tc>
          <w:tcPr>
            <w:tcW w:w="960" w:type="dxa"/>
            <w:shd w:val="clear" w:color="000000" w:fill="FFEB9C"/>
            <w:noWrap/>
            <w:vAlign w:val="bottom"/>
            <w:hideMark/>
          </w:tcPr>
          <w:p w14:paraId="27A30E69" w14:textId="26E0AC2B"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1.6</w:t>
            </w:r>
          </w:p>
        </w:tc>
        <w:tc>
          <w:tcPr>
            <w:tcW w:w="960" w:type="dxa"/>
            <w:shd w:val="clear" w:color="000000" w:fill="FFEB9C"/>
            <w:noWrap/>
            <w:vAlign w:val="bottom"/>
            <w:hideMark/>
          </w:tcPr>
          <w:p w14:paraId="356C925C"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c>
          <w:tcPr>
            <w:tcW w:w="960" w:type="dxa"/>
            <w:shd w:val="clear" w:color="000000" w:fill="FFEB9C"/>
            <w:noWrap/>
            <w:vAlign w:val="bottom"/>
            <w:hideMark/>
          </w:tcPr>
          <w:p w14:paraId="2137A073"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r>
      <w:tr w:rsidR="00752E7F" w:rsidRPr="00752E7F" w14:paraId="47EF92AF" w14:textId="77777777" w:rsidTr="00752E7F">
        <w:trPr>
          <w:trHeight w:val="300"/>
          <w:jc w:val="center"/>
        </w:trPr>
        <w:tc>
          <w:tcPr>
            <w:tcW w:w="960" w:type="dxa"/>
            <w:vMerge/>
            <w:shd w:val="clear" w:color="auto" w:fill="FFFFFF" w:themeFill="background1"/>
          </w:tcPr>
          <w:p w14:paraId="0AFFA4DF" w14:textId="77777777" w:rsidR="00752E7F" w:rsidRPr="00752E7F" w:rsidRDefault="00752E7F" w:rsidP="00752E7F">
            <w:pPr>
              <w:spacing w:after="0"/>
              <w:jc w:val="right"/>
              <w:rPr>
                <w:rFonts w:ascii="Calibri" w:hAnsi="Calibri" w:cs="Calibri"/>
                <w:sz w:val="22"/>
                <w:szCs w:val="22"/>
                <w:lang w:val="en-US"/>
              </w:rPr>
            </w:pPr>
          </w:p>
        </w:tc>
        <w:tc>
          <w:tcPr>
            <w:tcW w:w="960" w:type="dxa"/>
            <w:shd w:val="clear" w:color="000000" w:fill="FFC7CE"/>
            <w:noWrap/>
            <w:vAlign w:val="bottom"/>
            <w:hideMark/>
          </w:tcPr>
          <w:p w14:paraId="706A522C" w14:textId="03811B44" w:rsidR="00752E7F" w:rsidRPr="00752E7F" w:rsidRDefault="00752E7F" w:rsidP="00752E7F">
            <w:pPr>
              <w:spacing w:after="0"/>
              <w:jc w:val="right"/>
              <w:rPr>
                <w:rFonts w:ascii="Calibri" w:hAnsi="Calibri" w:cs="Calibri"/>
                <w:color w:val="9C0006"/>
                <w:sz w:val="22"/>
                <w:szCs w:val="22"/>
                <w:lang w:val="en-US"/>
              </w:rPr>
            </w:pPr>
            <w:r w:rsidRPr="00752E7F">
              <w:rPr>
                <w:rFonts w:ascii="Calibri" w:hAnsi="Calibri" w:cs="Calibri"/>
                <w:color w:val="9C0006"/>
                <w:sz w:val="22"/>
                <w:szCs w:val="22"/>
                <w:lang w:val="en-US"/>
              </w:rPr>
              <w:t>2</w:t>
            </w:r>
          </w:p>
        </w:tc>
        <w:tc>
          <w:tcPr>
            <w:tcW w:w="960" w:type="dxa"/>
            <w:shd w:val="clear" w:color="000000" w:fill="FFEB9C"/>
            <w:noWrap/>
            <w:vAlign w:val="bottom"/>
            <w:hideMark/>
          </w:tcPr>
          <w:p w14:paraId="39DF6363"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c>
          <w:tcPr>
            <w:tcW w:w="960" w:type="dxa"/>
            <w:shd w:val="clear" w:color="000000" w:fill="C6EFCE"/>
            <w:noWrap/>
            <w:vAlign w:val="bottom"/>
            <w:hideMark/>
          </w:tcPr>
          <w:p w14:paraId="49F49B1D" w14:textId="77777777" w:rsidR="00752E7F" w:rsidRPr="00752E7F" w:rsidRDefault="00752E7F" w:rsidP="00752E7F">
            <w:pPr>
              <w:spacing w:after="0"/>
              <w:jc w:val="right"/>
              <w:rPr>
                <w:rFonts w:ascii="Calibri" w:hAnsi="Calibri" w:cs="Calibri"/>
                <w:color w:val="006100"/>
                <w:sz w:val="22"/>
                <w:szCs w:val="22"/>
                <w:lang w:val="en-US"/>
              </w:rPr>
            </w:pPr>
            <w:r w:rsidRPr="00752E7F">
              <w:rPr>
                <w:rFonts w:ascii="Calibri" w:hAnsi="Calibri" w:cs="Calibri"/>
                <w:color w:val="006100"/>
                <w:sz w:val="22"/>
                <w:szCs w:val="22"/>
                <w:lang w:val="en-US"/>
              </w:rPr>
              <w:t>2</w:t>
            </w:r>
          </w:p>
        </w:tc>
      </w:tr>
      <w:tr w:rsidR="00752E7F" w:rsidRPr="00752E7F" w14:paraId="0F0CE450" w14:textId="77777777" w:rsidTr="00752E7F">
        <w:trPr>
          <w:trHeight w:val="300"/>
          <w:jc w:val="center"/>
        </w:trPr>
        <w:tc>
          <w:tcPr>
            <w:tcW w:w="960" w:type="dxa"/>
            <w:vMerge/>
            <w:shd w:val="clear" w:color="auto" w:fill="FFFFFF" w:themeFill="background1"/>
          </w:tcPr>
          <w:p w14:paraId="0EAA30E1" w14:textId="77777777" w:rsidR="00752E7F" w:rsidRPr="00752E7F" w:rsidRDefault="00752E7F" w:rsidP="00752E7F">
            <w:pPr>
              <w:spacing w:after="0"/>
              <w:jc w:val="right"/>
              <w:rPr>
                <w:rFonts w:ascii="Calibri" w:hAnsi="Calibri" w:cs="Calibri"/>
                <w:sz w:val="22"/>
                <w:szCs w:val="22"/>
                <w:lang w:val="en-US"/>
              </w:rPr>
            </w:pPr>
          </w:p>
        </w:tc>
        <w:tc>
          <w:tcPr>
            <w:tcW w:w="960" w:type="dxa"/>
            <w:shd w:val="clear" w:color="000000" w:fill="FFEB9C"/>
            <w:noWrap/>
            <w:vAlign w:val="bottom"/>
            <w:hideMark/>
          </w:tcPr>
          <w:p w14:paraId="4CDB13AC" w14:textId="0C64B616"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1.6</w:t>
            </w:r>
          </w:p>
        </w:tc>
        <w:tc>
          <w:tcPr>
            <w:tcW w:w="960" w:type="dxa"/>
            <w:shd w:val="clear" w:color="000000" w:fill="FFEB9C"/>
            <w:noWrap/>
            <w:vAlign w:val="bottom"/>
            <w:hideMark/>
          </w:tcPr>
          <w:p w14:paraId="0B8E8DFF"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c>
          <w:tcPr>
            <w:tcW w:w="960" w:type="dxa"/>
            <w:shd w:val="clear" w:color="000000" w:fill="FFEB9C"/>
            <w:noWrap/>
            <w:vAlign w:val="bottom"/>
            <w:hideMark/>
          </w:tcPr>
          <w:p w14:paraId="76EA2150"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r>
      <w:tr w:rsidR="00752E7F" w:rsidRPr="00752E7F" w14:paraId="5DA5DD3E" w14:textId="77777777" w:rsidTr="00752E7F">
        <w:trPr>
          <w:trHeight w:val="300"/>
          <w:jc w:val="center"/>
        </w:trPr>
        <w:tc>
          <w:tcPr>
            <w:tcW w:w="960" w:type="dxa"/>
            <w:vMerge/>
            <w:shd w:val="clear" w:color="auto" w:fill="FFFFFF" w:themeFill="background1"/>
          </w:tcPr>
          <w:p w14:paraId="56EC69C6" w14:textId="77777777" w:rsidR="00752E7F" w:rsidRPr="00752E7F" w:rsidRDefault="00752E7F" w:rsidP="00752E7F">
            <w:pPr>
              <w:spacing w:after="0"/>
              <w:jc w:val="right"/>
              <w:rPr>
                <w:rFonts w:ascii="Calibri" w:hAnsi="Calibri" w:cs="Calibri"/>
                <w:sz w:val="22"/>
                <w:szCs w:val="22"/>
                <w:lang w:val="en-US"/>
              </w:rPr>
            </w:pPr>
          </w:p>
        </w:tc>
        <w:tc>
          <w:tcPr>
            <w:tcW w:w="960" w:type="dxa"/>
            <w:shd w:val="clear" w:color="000000" w:fill="FFEB9C"/>
            <w:noWrap/>
            <w:vAlign w:val="bottom"/>
            <w:hideMark/>
          </w:tcPr>
          <w:p w14:paraId="7C9F9A6A" w14:textId="3221D4C5"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1.6</w:t>
            </w:r>
          </w:p>
        </w:tc>
        <w:tc>
          <w:tcPr>
            <w:tcW w:w="960" w:type="dxa"/>
            <w:shd w:val="clear" w:color="000000" w:fill="FFEB9C"/>
            <w:noWrap/>
            <w:vAlign w:val="bottom"/>
            <w:hideMark/>
          </w:tcPr>
          <w:p w14:paraId="11F3CE0B"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c>
          <w:tcPr>
            <w:tcW w:w="960" w:type="dxa"/>
            <w:shd w:val="clear" w:color="000000" w:fill="FFEB9C"/>
            <w:noWrap/>
            <w:vAlign w:val="bottom"/>
            <w:hideMark/>
          </w:tcPr>
          <w:p w14:paraId="51344773"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r>
      <w:tr w:rsidR="00752E7F" w:rsidRPr="00752E7F" w14:paraId="5A9A6615" w14:textId="77777777" w:rsidTr="00752E7F">
        <w:trPr>
          <w:trHeight w:val="300"/>
          <w:jc w:val="center"/>
        </w:trPr>
        <w:tc>
          <w:tcPr>
            <w:tcW w:w="960" w:type="dxa"/>
            <w:vMerge/>
            <w:shd w:val="clear" w:color="auto" w:fill="FFFFFF" w:themeFill="background1"/>
          </w:tcPr>
          <w:p w14:paraId="6ACB8A3C" w14:textId="77777777" w:rsidR="00752E7F" w:rsidRPr="00752E7F" w:rsidRDefault="00752E7F" w:rsidP="00752E7F">
            <w:pPr>
              <w:spacing w:after="0"/>
              <w:jc w:val="right"/>
              <w:rPr>
                <w:rFonts w:ascii="Calibri" w:hAnsi="Calibri" w:cs="Calibri"/>
                <w:sz w:val="22"/>
                <w:szCs w:val="22"/>
                <w:lang w:val="en-US"/>
              </w:rPr>
            </w:pPr>
          </w:p>
        </w:tc>
        <w:tc>
          <w:tcPr>
            <w:tcW w:w="960" w:type="dxa"/>
            <w:shd w:val="clear" w:color="000000" w:fill="FFEB9C"/>
            <w:noWrap/>
            <w:vAlign w:val="bottom"/>
            <w:hideMark/>
          </w:tcPr>
          <w:p w14:paraId="3F2584E4" w14:textId="46A2B376"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1.6</w:t>
            </w:r>
          </w:p>
        </w:tc>
        <w:tc>
          <w:tcPr>
            <w:tcW w:w="960" w:type="dxa"/>
            <w:shd w:val="clear" w:color="000000" w:fill="FFEB9C"/>
            <w:noWrap/>
            <w:vAlign w:val="bottom"/>
            <w:hideMark/>
          </w:tcPr>
          <w:p w14:paraId="1D67F1DA"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c>
          <w:tcPr>
            <w:tcW w:w="960" w:type="dxa"/>
            <w:shd w:val="clear" w:color="000000" w:fill="FFEB9C"/>
            <w:noWrap/>
            <w:vAlign w:val="bottom"/>
            <w:hideMark/>
          </w:tcPr>
          <w:p w14:paraId="37B5F590"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r>
      <w:tr w:rsidR="00752E7F" w:rsidRPr="00752E7F" w14:paraId="397BF2E4" w14:textId="77777777" w:rsidTr="00752E7F">
        <w:trPr>
          <w:trHeight w:val="300"/>
          <w:jc w:val="center"/>
        </w:trPr>
        <w:tc>
          <w:tcPr>
            <w:tcW w:w="960" w:type="dxa"/>
            <w:vMerge/>
            <w:shd w:val="clear" w:color="auto" w:fill="FFFFFF" w:themeFill="background1"/>
          </w:tcPr>
          <w:p w14:paraId="47B7D10B" w14:textId="77777777" w:rsidR="00752E7F" w:rsidRPr="00752E7F" w:rsidRDefault="00752E7F" w:rsidP="00752E7F">
            <w:pPr>
              <w:spacing w:after="0"/>
              <w:jc w:val="right"/>
              <w:rPr>
                <w:rFonts w:ascii="Calibri" w:hAnsi="Calibri" w:cs="Calibri"/>
                <w:sz w:val="22"/>
                <w:szCs w:val="22"/>
                <w:lang w:val="en-US"/>
              </w:rPr>
            </w:pPr>
          </w:p>
        </w:tc>
        <w:tc>
          <w:tcPr>
            <w:tcW w:w="960" w:type="dxa"/>
            <w:shd w:val="clear" w:color="000000" w:fill="FFEB9C"/>
            <w:noWrap/>
            <w:vAlign w:val="bottom"/>
            <w:hideMark/>
          </w:tcPr>
          <w:p w14:paraId="704B2C7C" w14:textId="1D830DDE"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1.6</w:t>
            </w:r>
          </w:p>
        </w:tc>
        <w:tc>
          <w:tcPr>
            <w:tcW w:w="960" w:type="dxa"/>
            <w:shd w:val="clear" w:color="000000" w:fill="FFEB9C"/>
            <w:noWrap/>
            <w:vAlign w:val="bottom"/>
            <w:hideMark/>
          </w:tcPr>
          <w:p w14:paraId="0EF690BA"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c>
          <w:tcPr>
            <w:tcW w:w="960" w:type="dxa"/>
            <w:shd w:val="clear" w:color="000000" w:fill="FFEB9C"/>
            <w:noWrap/>
            <w:vAlign w:val="bottom"/>
            <w:hideMark/>
          </w:tcPr>
          <w:p w14:paraId="241AF6D4"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r>
      <w:tr w:rsidR="00752E7F" w:rsidRPr="00752E7F" w14:paraId="1099F66B" w14:textId="77777777" w:rsidTr="00752E7F">
        <w:trPr>
          <w:trHeight w:val="300"/>
          <w:jc w:val="center"/>
        </w:trPr>
        <w:tc>
          <w:tcPr>
            <w:tcW w:w="960" w:type="dxa"/>
            <w:vMerge/>
            <w:shd w:val="clear" w:color="auto" w:fill="FFFFFF" w:themeFill="background1"/>
          </w:tcPr>
          <w:p w14:paraId="0ADF746D" w14:textId="77777777" w:rsidR="00752E7F" w:rsidRPr="00752E7F" w:rsidRDefault="00752E7F" w:rsidP="00752E7F">
            <w:pPr>
              <w:spacing w:after="0"/>
              <w:jc w:val="right"/>
              <w:rPr>
                <w:rFonts w:ascii="Calibri" w:hAnsi="Calibri" w:cs="Calibri"/>
                <w:sz w:val="22"/>
                <w:szCs w:val="22"/>
                <w:lang w:val="en-US"/>
              </w:rPr>
            </w:pPr>
          </w:p>
        </w:tc>
        <w:tc>
          <w:tcPr>
            <w:tcW w:w="960" w:type="dxa"/>
            <w:shd w:val="clear" w:color="000000" w:fill="FFEB9C"/>
            <w:noWrap/>
            <w:vAlign w:val="bottom"/>
            <w:hideMark/>
          </w:tcPr>
          <w:p w14:paraId="6321E06E" w14:textId="71DB7334"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1.6</w:t>
            </w:r>
          </w:p>
        </w:tc>
        <w:tc>
          <w:tcPr>
            <w:tcW w:w="960" w:type="dxa"/>
            <w:shd w:val="clear" w:color="000000" w:fill="FFEB9C"/>
            <w:noWrap/>
            <w:vAlign w:val="bottom"/>
            <w:hideMark/>
          </w:tcPr>
          <w:p w14:paraId="25ABC05E"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c>
          <w:tcPr>
            <w:tcW w:w="960" w:type="dxa"/>
            <w:shd w:val="clear" w:color="000000" w:fill="FFEB9C"/>
            <w:noWrap/>
            <w:vAlign w:val="bottom"/>
            <w:hideMark/>
          </w:tcPr>
          <w:p w14:paraId="48FF98E9"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r>
      <w:tr w:rsidR="00752E7F" w:rsidRPr="00752E7F" w14:paraId="67E573D6" w14:textId="77777777" w:rsidTr="00752E7F">
        <w:trPr>
          <w:trHeight w:val="300"/>
          <w:jc w:val="center"/>
        </w:trPr>
        <w:tc>
          <w:tcPr>
            <w:tcW w:w="960" w:type="dxa"/>
            <w:vMerge w:val="restart"/>
            <w:shd w:val="clear" w:color="auto" w:fill="FFFFFF" w:themeFill="background1"/>
          </w:tcPr>
          <w:p w14:paraId="55F28951" w14:textId="77777777" w:rsidR="00752E7F" w:rsidRDefault="00752E7F" w:rsidP="00752E7F">
            <w:pPr>
              <w:spacing w:after="0"/>
              <w:jc w:val="right"/>
              <w:rPr>
                <w:rFonts w:ascii="Calibri" w:hAnsi="Calibri" w:cs="Calibri"/>
                <w:sz w:val="22"/>
                <w:szCs w:val="22"/>
                <w:lang w:val="en-US"/>
              </w:rPr>
            </w:pPr>
          </w:p>
          <w:p w14:paraId="6CFA7D77" w14:textId="77777777" w:rsidR="00752E7F" w:rsidRDefault="00752E7F" w:rsidP="00752E7F">
            <w:pPr>
              <w:spacing w:after="0"/>
              <w:jc w:val="right"/>
              <w:rPr>
                <w:rFonts w:ascii="Calibri" w:hAnsi="Calibri" w:cs="Calibri"/>
                <w:sz w:val="22"/>
                <w:szCs w:val="22"/>
                <w:lang w:val="en-US"/>
              </w:rPr>
            </w:pPr>
          </w:p>
          <w:p w14:paraId="46F30764" w14:textId="77777777" w:rsidR="00752E7F" w:rsidRDefault="00752E7F" w:rsidP="00752E7F">
            <w:pPr>
              <w:spacing w:after="0"/>
              <w:jc w:val="right"/>
              <w:rPr>
                <w:rFonts w:ascii="Calibri" w:hAnsi="Calibri" w:cs="Calibri"/>
                <w:sz w:val="22"/>
                <w:szCs w:val="22"/>
                <w:lang w:val="en-US"/>
              </w:rPr>
            </w:pPr>
          </w:p>
          <w:p w14:paraId="6E2C3498" w14:textId="77777777" w:rsidR="00752E7F" w:rsidRDefault="00752E7F" w:rsidP="00752E7F">
            <w:pPr>
              <w:spacing w:after="0"/>
              <w:jc w:val="right"/>
              <w:rPr>
                <w:rFonts w:ascii="Calibri" w:hAnsi="Calibri" w:cs="Calibri"/>
                <w:sz w:val="22"/>
                <w:szCs w:val="22"/>
                <w:lang w:val="en-US"/>
              </w:rPr>
            </w:pPr>
          </w:p>
          <w:p w14:paraId="34EA698D" w14:textId="77777777" w:rsidR="00752E7F" w:rsidRDefault="00752E7F" w:rsidP="00752E7F">
            <w:pPr>
              <w:spacing w:after="0"/>
              <w:jc w:val="right"/>
              <w:rPr>
                <w:rFonts w:ascii="Calibri" w:hAnsi="Calibri" w:cs="Calibri"/>
                <w:sz w:val="22"/>
                <w:szCs w:val="22"/>
                <w:lang w:val="en-US"/>
              </w:rPr>
            </w:pPr>
          </w:p>
          <w:p w14:paraId="51390CE3" w14:textId="30EAA5E1" w:rsidR="00752E7F" w:rsidRPr="00752E7F" w:rsidRDefault="00752E7F" w:rsidP="00752E7F">
            <w:pPr>
              <w:spacing w:after="0"/>
              <w:jc w:val="center"/>
              <w:rPr>
                <w:rFonts w:ascii="Calibri" w:hAnsi="Calibri" w:cs="Calibri"/>
                <w:sz w:val="22"/>
                <w:szCs w:val="22"/>
                <w:lang w:val="en-US"/>
              </w:rPr>
            </w:pPr>
            <w:r w:rsidRPr="00752E7F">
              <w:rPr>
                <w:rFonts w:ascii="Calibri" w:hAnsi="Calibri" w:cs="Calibri"/>
                <w:sz w:val="22"/>
                <w:szCs w:val="22"/>
                <w:lang w:val="en-US"/>
              </w:rPr>
              <w:t>“Blanked” LTE PRB</w:t>
            </w:r>
          </w:p>
        </w:tc>
        <w:tc>
          <w:tcPr>
            <w:tcW w:w="960" w:type="dxa"/>
            <w:shd w:val="clear" w:color="000000" w:fill="FFC7CE"/>
            <w:noWrap/>
            <w:vAlign w:val="bottom"/>
            <w:hideMark/>
          </w:tcPr>
          <w:p w14:paraId="01B73A3E" w14:textId="398227AE" w:rsidR="00752E7F" w:rsidRPr="00752E7F" w:rsidRDefault="00752E7F" w:rsidP="00752E7F">
            <w:pPr>
              <w:spacing w:after="0"/>
              <w:jc w:val="right"/>
              <w:rPr>
                <w:rFonts w:ascii="Calibri" w:hAnsi="Calibri" w:cs="Calibri"/>
                <w:color w:val="9C0006"/>
                <w:sz w:val="22"/>
                <w:szCs w:val="22"/>
                <w:lang w:val="en-US"/>
              </w:rPr>
            </w:pPr>
            <w:r w:rsidRPr="00752E7F">
              <w:rPr>
                <w:rFonts w:ascii="Calibri" w:hAnsi="Calibri" w:cs="Calibri"/>
                <w:color w:val="9C0006"/>
                <w:sz w:val="22"/>
                <w:szCs w:val="22"/>
                <w:lang w:val="en-US"/>
              </w:rPr>
              <w:t>2</w:t>
            </w:r>
          </w:p>
        </w:tc>
        <w:tc>
          <w:tcPr>
            <w:tcW w:w="960" w:type="dxa"/>
            <w:shd w:val="clear" w:color="auto" w:fill="F7CAAC" w:themeFill="accent2" w:themeFillTint="66"/>
            <w:noWrap/>
            <w:vAlign w:val="bottom"/>
            <w:hideMark/>
          </w:tcPr>
          <w:p w14:paraId="6D421C5C"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1C46EC57"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r>
      <w:tr w:rsidR="00752E7F" w:rsidRPr="00752E7F" w14:paraId="1B88B82A" w14:textId="77777777" w:rsidTr="00752E7F">
        <w:trPr>
          <w:trHeight w:val="300"/>
          <w:jc w:val="center"/>
        </w:trPr>
        <w:tc>
          <w:tcPr>
            <w:tcW w:w="960" w:type="dxa"/>
            <w:vMerge/>
            <w:shd w:val="clear" w:color="auto" w:fill="FFFFFF" w:themeFill="background1"/>
          </w:tcPr>
          <w:p w14:paraId="4621665F" w14:textId="77777777" w:rsidR="00752E7F" w:rsidRPr="00752E7F" w:rsidRDefault="00752E7F" w:rsidP="00752E7F">
            <w:pPr>
              <w:spacing w:after="0"/>
              <w:jc w:val="right"/>
              <w:rPr>
                <w:rFonts w:ascii="Calibri" w:hAnsi="Calibri" w:cs="Calibri"/>
                <w:color w:val="9C5700"/>
                <w:sz w:val="22"/>
                <w:szCs w:val="22"/>
                <w:lang w:val="en-US"/>
              </w:rPr>
            </w:pPr>
          </w:p>
        </w:tc>
        <w:tc>
          <w:tcPr>
            <w:tcW w:w="960" w:type="dxa"/>
            <w:shd w:val="clear" w:color="auto" w:fill="F7CAAC" w:themeFill="accent2" w:themeFillTint="66"/>
            <w:noWrap/>
            <w:vAlign w:val="bottom"/>
            <w:hideMark/>
          </w:tcPr>
          <w:p w14:paraId="6899B55A" w14:textId="14B02FAB"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6BCF2B03"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05B212D2"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r>
      <w:tr w:rsidR="00752E7F" w:rsidRPr="00752E7F" w14:paraId="6AAD7B85" w14:textId="77777777" w:rsidTr="00752E7F">
        <w:trPr>
          <w:trHeight w:val="300"/>
          <w:jc w:val="center"/>
        </w:trPr>
        <w:tc>
          <w:tcPr>
            <w:tcW w:w="960" w:type="dxa"/>
            <w:vMerge/>
            <w:shd w:val="clear" w:color="auto" w:fill="FFFFFF" w:themeFill="background1"/>
          </w:tcPr>
          <w:p w14:paraId="4D20D255" w14:textId="77777777" w:rsidR="00752E7F" w:rsidRPr="00752E7F" w:rsidRDefault="00752E7F" w:rsidP="00752E7F">
            <w:pPr>
              <w:spacing w:after="0"/>
              <w:jc w:val="right"/>
              <w:rPr>
                <w:rFonts w:ascii="Calibri" w:hAnsi="Calibri" w:cs="Calibri"/>
                <w:color w:val="9C5700"/>
                <w:sz w:val="22"/>
                <w:szCs w:val="22"/>
                <w:lang w:val="en-US"/>
              </w:rPr>
            </w:pPr>
          </w:p>
        </w:tc>
        <w:tc>
          <w:tcPr>
            <w:tcW w:w="960" w:type="dxa"/>
            <w:shd w:val="clear" w:color="auto" w:fill="F7CAAC" w:themeFill="accent2" w:themeFillTint="66"/>
            <w:noWrap/>
            <w:vAlign w:val="bottom"/>
            <w:hideMark/>
          </w:tcPr>
          <w:p w14:paraId="670DEDBC" w14:textId="0A612DA5"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1C663445"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17EFEEEB"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r>
      <w:tr w:rsidR="00752E7F" w:rsidRPr="00752E7F" w14:paraId="11232E39" w14:textId="77777777" w:rsidTr="00752E7F">
        <w:trPr>
          <w:trHeight w:val="300"/>
          <w:jc w:val="center"/>
        </w:trPr>
        <w:tc>
          <w:tcPr>
            <w:tcW w:w="960" w:type="dxa"/>
            <w:vMerge/>
            <w:shd w:val="clear" w:color="auto" w:fill="FFFFFF" w:themeFill="background1"/>
          </w:tcPr>
          <w:p w14:paraId="359E1A80" w14:textId="77777777" w:rsidR="00752E7F" w:rsidRPr="00752E7F" w:rsidRDefault="00752E7F" w:rsidP="00752E7F">
            <w:pPr>
              <w:spacing w:after="0"/>
              <w:jc w:val="right"/>
              <w:rPr>
                <w:rFonts w:ascii="Calibri" w:hAnsi="Calibri" w:cs="Calibri"/>
                <w:color w:val="9C5700"/>
                <w:sz w:val="22"/>
                <w:szCs w:val="22"/>
                <w:lang w:val="en-US"/>
              </w:rPr>
            </w:pPr>
          </w:p>
        </w:tc>
        <w:tc>
          <w:tcPr>
            <w:tcW w:w="960" w:type="dxa"/>
            <w:shd w:val="clear" w:color="auto" w:fill="F7CAAC" w:themeFill="accent2" w:themeFillTint="66"/>
            <w:noWrap/>
            <w:vAlign w:val="bottom"/>
            <w:hideMark/>
          </w:tcPr>
          <w:p w14:paraId="1C688877" w14:textId="7F31D3FA"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71480D53"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74343005"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r>
      <w:tr w:rsidR="00752E7F" w:rsidRPr="00752E7F" w14:paraId="25B8A521" w14:textId="77777777" w:rsidTr="00752E7F">
        <w:trPr>
          <w:trHeight w:val="300"/>
          <w:jc w:val="center"/>
        </w:trPr>
        <w:tc>
          <w:tcPr>
            <w:tcW w:w="960" w:type="dxa"/>
            <w:vMerge/>
            <w:shd w:val="clear" w:color="auto" w:fill="FFFFFF" w:themeFill="background1"/>
          </w:tcPr>
          <w:p w14:paraId="70B11CB9" w14:textId="77777777" w:rsidR="00752E7F" w:rsidRPr="00752E7F" w:rsidRDefault="00752E7F" w:rsidP="00752E7F">
            <w:pPr>
              <w:spacing w:after="0"/>
              <w:jc w:val="right"/>
              <w:rPr>
                <w:rFonts w:ascii="Calibri" w:hAnsi="Calibri" w:cs="Calibri"/>
                <w:color w:val="9C5700"/>
                <w:sz w:val="22"/>
                <w:szCs w:val="22"/>
                <w:lang w:val="en-US"/>
              </w:rPr>
            </w:pPr>
          </w:p>
        </w:tc>
        <w:tc>
          <w:tcPr>
            <w:tcW w:w="960" w:type="dxa"/>
            <w:shd w:val="clear" w:color="auto" w:fill="F7CAAC" w:themeFill="accent2" w:themeFillTint="66"/>
            <w:noWrap/>
            <w:vAlign w:val="bottom"/>
            <w:hideMark/>
          </w:tcPr>
          <w:p w14:paraId="0DB104AC" w14:textId="0D6B83EF"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5B0CE44B"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189EF8BA"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r>
      <w:tr w:rsidR="00752E7F" w:rsidRPr="00752E7F" w14:paraId="34C75158" w14:textId="77777777" w:rsidTr="00752E7F">
        <w:trPr>
          <w:trHeight w:val="300"/>
          <w:jc w:val="center"/>
        </w:trPr>
        <w:tc>
          <w:tcPr>
            <w:tcW w:w="960" w:type="dxa"/>
            <w:vMerge/>
            <w:shd w:val="clear" w:color="auto" w:fill="FFFFFF" w:themeFill="background1"/>
          </w:tcPr>
          <w:p w14:paraId="20B7B155" w14:textId="77777777" w:rsidR="00752E7F" w:rsidRPr="00752E7F" w:rsidRDefault="00752E7F" w:rsidP="00752E7F">
            <w:pPr>
              <w:spacing w:after="0"/>
              <w:jc w:val="right"/>
              <w:rPr>
                <w:rFonts w:ascii="Calibri" w:hAnsi="Calibri" w:cs="Calibri"/>
                <w:color w:val="9C5700"/>
                <w:sz w:val="22"/>
                <w:szCs w:val="22"/>
                <w:lang w:val="en-US"/>
              </w:rPr>
            </w:pPr>
          </w:p>
        </w:tc>
        <w:tc>
          <w:tcPr>
            <w:tcW w:w="960" w:type="dxa"/>
            <w:shd w:val="clear" w:color="auto" w:fill="F7CAAC" w:themeFill="accent2" w:themeFillTint="66"/>
            <w:noWrap/>
            <w:vAlign w:val="bottom"/>
            <w:hideMark/>
          </w:tcPr>
          <w:p w14:paraId="37A3A740" w14:textId="55A7C830"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1C5407F0"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5EC132D0"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r>
      <w:tr w:rsidR="00752E7F" w:rsidRPr="00752E7F" w14:paraId="5E018CF1" w14:textId="77777777" w:rsidTr="00752E7F">
        <w:trPr>
          <w:trHeight w:val="300"/>
          <w:jc w:val="center"/>
        </w:trPr>
        <w:tc>
          <w:tcPr>
            <w:tcW w:w="960" w:type="dxa"/>
            <w:vMerge/>
            <w:shd w:val="clear" w:color="auto" w:fill="FFFFFF" w:themeFill="background1"/>
          </w:tcPr>
          <w:p w14:paraId="173DF977" w14:textId="77777777" w:rsidR="00752E7F" w:rsidRPr="00752E7F" w:rsidRDefault="00752E7F" w:rsidP="00752E7F">
            <w:pPr>
              <w:spacing w:after="0"/>
              <w:jc w:val="right"/>
              <w:rPr>
                <w:rFonts w:ascii="Calibri" w:hAnsi="Calibri" w:cs="Calibri"/>
                <w:color w:val="9C0006"/>
                <w:sz w:val="22"/>
                <w:szCs w:val="22"/>
                <w:lang w:val="en-US"/>
              </w:rPr>
            </w:pPr>
          </w:p>
        </w:tc>
        <w:tc>
          <w:tcPr>
            <w:tcW w:w="960" w:type="dxa"/>
            <w:shd w:val="clear" w:color="000000" w:fill="FFC7CE"/>
            <w:noWrap/>
            <w:vAlign w:val="bottom"/>
            <w:hideMark/>
          </w:tcPr>
          <w:p w14:paraId="5D887981" w14:textId="421ABFD4" w:rsidR="00752E7F" w:rsidRPr="00752E7F" w:rsidRDefault="00752E7F" w:rsidP="00752E7F">
            <w:pPr>
              <w:spacing w:after="0"/>
              <w:jc w:val="right"/>
              <w:rPr>
                <w:rFonts w:ascii="Calibri" w:hAnsi="Calibri" w:cs="Calibri"/>
                <w:color w:val="9C0006"/>
                <w:sz w:val="22"/>
                <w:szCs w:val="22"/>
                <w:lang w:val="en-US"/>
              </w:rPr>
            </w:pPr>
            <w:r w:rsidRPr="00752E7F">
              <w:rPr>
                <w:rFonts w:ascii="Calibri" w:hAnsi="Calibri" w:cs="Calibri"/>
                <w:color w:val="9C0006"/>
                <w:sz w:val="22"/>
                <w:szCs w:val="22"/>
                <w:lang w:val="en-US"/>
              </w:rPr>
              <w:t>2</w:t>
            </w:r>
          </w:p>
        </w:tc>
        <w:tc>
          <w:tcPr>
            <w:tcW w:w="960" w:type="dxa"/>
            <w:shd w:val="clear" w:color="auto" w:fill="F7CAAC" w:themeFill="accent2" w:themeFillTint="66"/>
            <w:noWrap/>
            <w:vAlign w:val="bottom"/>
            <w:hideMark/>
          </w:tcPr>
          <w:p w14:paraId="57AA3037"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37088C77"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r>
      <w:tr w:rsidR="00752E7F" w:rsidRPr="00752E7F" w14:paraId="3F85DE5C" w14:textId="77777777" w:rsidTr="00752E7F">
        <w:trPr>
          <w:trHeight w:val="300"/>
          <w:jc w:val="center"/>
        </w:trPr>
        <w:tc>
          <w:tcPr>
            <w:tcW w:w="960" w:type="dxa"/>
            <w:vMerge/>
            <w:shd w:val="clear" w:color="auto" w:fill="FFFFFF" w:themeFill="background1"/>
          </w:tcPr>
          <w:p w14:paraId="47795D12" w14:textId="77777777" w:rsidR="00752E7F" w:rsidRPr="00752E7F" w:rsidRDefault="00752E7F" w:rsidP="00752E7F">
            <w:pPr>
              <w:spacing w:after="0"/>
              <w:jc w:val="right"/>
              <w:rPr>
                <w:rFonts w:ascii="Calibri" w:hAnsi="Calibri" w:cs="Calibri"/>
                <w:color w:val="9C5700"/>
                <w:sz w:val="22"/>
                <w:szCs w:val="22"/>
                <w:lang w:val="en-US"/>
              </w:rPr>
            </w:pPr>
          </w:p>
        </w:tc>
        <w:tc>
          <w:tcPr>
            <w:tcW w:w="960" w:type="dxa"/>
            <w:shd w:val="clear" w:color="auto" w:fill="F7CAAC" w:themeFill="accent2" w:themeFillTint="66"/>
            <w:noWrap/>
            <w:vAlign w:val="bottom"/>
            <w:hideMark/>
          </w:tcPr>
          <w:p w14:paraId="7C88DFF9" w14:textId="3F980EB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2A055F46"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2B24D82C"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r>
      <w:tr w:rsidR="00752E7F" w:rsidRPr="00752E7F" w14:paraId="537B6181" w14:textId="77777777" w:rsidTr="00752E7F">
        <w:trPr>
          <w:trHeight w:val="300"/>
          <w:jc w:val="center"/>
        </w:trPr>
        <w:tc>
          <w:tcPr>
            <w:tcW w:w="960" w:type="dxa"/>
            <w:vMerge/>
            <w:shd w:val="clear" w:color="auto" w:fill="FFFFFF" w:themeFill="background1"/>
          </w:tcPr>
          <w:p w14:paraId="5734B62A" w14:textId="77777777" w:rsidR="00752E7F" w:rsidRPr="00752E7F" w:rsidRDefault="00752E7F" w:rsidP="00752E7F">
            <w:pPr>
              <w:spacing w:after="0"/>
              <w:jc w:val="right"/>
              <w:rPr>
                <w:rFonts w:ascii="Calibri" w:hAnsi="Calibri" w:cs="Calibri"/>
                <w:color w:val="9C5700"/>
                <w:sz w:val="22"/>
                <w:szCs w:val="22"/>
                <w:lang w:val="en-US"/>
              </w:rPr>
            </w:pPr>
          </w:p>
        </w:tc>
        <w:tc>
          <w:tcPr>
            <w:tcW w:w="960" w:type="dxa"/>
            <w:shd w:val="clear" w:color="auto" w:fill="F7CAAC" w:themeFill="accent2" w:themeFillTint="66"/>
            <w:noWrap/>
            <w:vAlign w:val="bottom"/>
            <w:hideMark/>
          </w:tcPr>
          <w:p w14:paraId="0DB0491D" w14:textId="15F4462C"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3EF1A145"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56C4B5B2"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r>
      <w:tr w:rsidR="00752E7F" w:rsidRPr="00752E7F" w14:paraId="2662830F" w14:textId="77777777" w:rsidTr="00752E7F">
        <w:trPr>
          <w:trHeight w:val="300"/>
          <w:jc w:val="center"/>
        </w:trPr>
        <w:tc>
          <w:tcPr>
            <w:tcW w:w="960" w:type="dxa"/>
            <w:vMerge/>
            <w:shd w:val="clear" w:color="auto" w:fill="FFFFFF" w:themeFill="background1"/>
          </w:tcPr>
          <w:p w14:paraId="74161555" w14:textId="77777777" w:rsidR="00752E7F" w:rsidRPr="00752E7F" w:rsidRDefault="00752E7F" w:rsidP="00752E7F">
            <w:pPr>
              <w:spacing w:after="0"/>
              <w:jc w:val="right"/>
              <w:rPr>
                <w:rFonts w:ascii="Calibri" w:hAnsi="Calibri" w:cs="Calibri"/>
                <w:color w:val="9C5700"/>
                <w:sz w:val="22"/>
                <w:szCs w:val="22"/>
                <w:lang w:val="en-US"/>
              </w:rPr>
            </w:pPr>
          </w:p>
        </w:tc>
        <w:tc>
          <w:tcPr>
            <w:tcW w:w="960" w:type="dxa"/>
            <w:shd w:val="clear" w:color="auto" w:fill="F7CAAC" w:themeFill="accent2" w:themeFillTint="66"/>
            <w:noWrap/>
            <w:vAlign w:val="bottom"/>
            <w:hideMark/>
          </w:tcPr>
          <w:p w14:paraId="3F5864A9" w14:textId="1C3D3B3B"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3D1A7638"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3B361F7B"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r>
      <w:tr w:rsidR="00752E7F" w:rsidRPr="00752E7F" w14:paraId="73AC1066" w14:textId="77777777" w:rsidTr="00752E7F">
        <w:trPr>
          <w:trHeight w:val="300"/>
          <w:jc w:val="center"/>
        </w:trPr>
        <w:tc>
          <w:tcPr>
            <w:tcW w:w="960" w:type="dxa"/>
            <w:vMerge/>
            <w:shd w:val="clear" w:color="auto" w:fill="FFFFFF" w:themeFill="background1"/>
          </w:tcPr>
          <w:p w14:paraId="5F192DCC" w14:textId="77777777" w:rsidR="00752E7F" w:rsidRPr="00752E7F" w:rsidRDefault="00752E7F" w:rsidP="00752E7F">
            <w:pPr>
              <w:spacing w:after="0"/>
              <w:jc w:val="right"/>
              <w:rPr>
                <w:rFonts w:ascii="Calibri" w:hAnsi="Calibri" w:cs="Calibri"/>
                <w:color w:val="9C5700"/>
                <w:sz w:val="22"/>
                <w:szCs w:val="22"/>
                <w:lang w:val="en-US"/>
              </w:rPr>
            </w:pPr>
          </w:p>
        </w:tc>
        <w:tc>
          <w:tcPr>
            <w:tcW w:w="960" w:type="dxa"/>
            <w:shd w:val="clear" w:color="auto" w:fill="F7CAAC" w:themeFill="accent2" w:themeFillTint="66"/>
            <w:noWrap/>
            <w:vAlign w:val="bottom"/>
            <w:hideMark/>
          </w:tcPr>
          <w:p w14:paraId="2C4A93F8" w14:textId="0E3D41FD"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441B4971"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65DD3E4E"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r>
      <w:tr w:rsidR="00752E7F" w:rsidRPr="00752E7F" w14:paraId="20988E70" w14:textId="77777777" w:rsidTr="00752E7F">
        <w:trPr>
          <w:trHeight w:val="300"/>
          <w:jc w:val="center"/>
        </w:trPr>
        <w:tc>
          <w:tcPr>
            <w:tcW w:w="960" w:type="dxa"/>
            <w:vMerge/>
            <w:shd w:val="clear" w:color="auto" w:fill="FFFFFF" w:themeFill="background1"/>
          </w:tcPr>
          <w:p w14:paraId="4165FDF9" w14:textId="77777777" w:rsidR="00752E7F" w:rsidRPr="00752E7F" w:rsidRDefault="00752E7F" w:rsidP="00752E7F">
            <w:pPr>
              <w:spacing w:after="0"/>
              <w:jc w:val="right"/>
              <w:rPr>
                <w:rFonts w:ascii="Calibri" w:hAnsi="Calibri" w:cs="Calibri"/>
                <w:color w:val="9C5700"/>
                <w:sz w:val="22"/>
                <w:szCs w:val="22"/>
                <w:lang w:val="en-US"/>
              </w:rPr>
            </w:pPr>
          </w:p>
        </w:tc>
        <w:tc>
          <w:tcPr>
            <w:tcW w:w="960" w:type="dxa"/>
            <w:shd w:val="clear" w:color="auto" w:fill="F7CAAC" w:themeFill="accent2" w:themeFillTint="66"/>
            <w:noWrap/>
            <w:vAlign w:val="bottom"/>
            <w:hideMark/>
          </w:tcPr>
          <w:p w14:paraId="2AFDFFA2" w14:textId="63FECF5D"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6D44B6F3"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002B84F6"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r>
    </w:tbl>
    <w:p w14:paraId="506964B2" w14:textId="77777777" w:rsidR="00752E7F" w:rsidRDefault="00752E7F" w:rsidP="00E61735">
      <w:pPr>
        <w:rPr>
          <w:lang w:eastAsia="x-none"/>
        </w:rPr>
      </w:pPr>
    </w:p>
    <w:p w14:paraId="726F69D6" w14:textId="06EF0BC3" w:rsidR="00752E7F" w:rsidRDefault="00752E7F" w:rsidP="00E61735">
      <w:pPr>
        <w:rPr>
          <w:lang w:eastAsia="x-none"/>
        </w:rPr>
      </w:pPr>
    </w:p>
    <w:p w14:paraId="1BA2F043" w14:textId="5018A516" w:rsidR="00752E7F" w:rsidRDefault="00752E7F" w:rsidP="00E61735">
      <w:pPr>
        <w:rPr>
          <w:lang w:eastAsia="x-none"/>
        </w:rPr>
      </w:pPr>
      <w:r>
        <w:rPr>
          <w:lang w:eastAsia="x-none"/>
        </w:rPr>
        <w:t>Therefore, we need one additional parameter to identify the NPDSCH to NRS EPRE in symbols with NRS. Although there are several equivalent ways to indicate this, the simplest way is to explicitly indicate the EPRE directly.</w:t>
      </w:r>
    </w:p>
    <w:p w14:paraId="05A378DD" w14:textId="436A467C" w:rsidR="00752E7F" w:rsidRDefault="00752E7F" w:rsidP="00E61735">
      <w:pPr>
        <w:rPr>
          <w:lang w:eastAsia="x-none"/>
        </w:rPr>
      </w:pPr>
      <w:r>
        <w:rPr>
          <w:lang w:eastAsia="x-none"/>
        </w:rPr>
        <w:t xml:space="preserve">For the other symbols (symbols with NRS and symbols without NRS or CRS), the power can be assumed to be constant, and thus no additional </w:t>
      </w:r>
      <w:proofErr w:type="spellStart"/>
      <w:r>
        <w:rPr>
          <w:lang w:eastAsia="x-none"/>
        </w:rPr>
        <w:t>signaling</w:t>
      </w:r>
      <w:proofErr w:type="spellEnd"/>
      <w:r>
        <w:rPr>
          <w:lang w:eastAsia="x-none"/>
        </w:rPr>
        <w:t xml:space="preserve"> is needed.</w:t>
      </w:r>
    </w:p>
    <w:p w14:paraId="6E6E9B38" w14:textId="63EC1289" w:rsidR="00752E7F" w:rsidRDefault="00752E7F" w:rsidP="00E61735">
      <w:pPr>
        <w:rPr>
          <w:lang w:eastAsia="x-none"/>
        </w:rPr>
      </w:pPr>
      <w:r>
        <w:rPr>
          <w:lang w:eastAsia="x-none"/>
        </w:rPr>
        <w:lastRenderedPageBreak/>
        <w:t>In view of the above, we make the following proposals:</w:t>
      </w:r>
    </w:p>
    <w:p w14:paraId="1CEBC655" w14:textId="3D07C72E" w:rsidR="00752E7F" w:rsidRPr="00752E7F" w:rsidRDefault="00752E7F" w:rsidP="00752E7F">
      <w:pPr>
        <w:shd w:val="clear" w:color="auto" w:fill="FFFFFF"/>
        <w:rPr>
          <w:b/>
          <w:bCs/>
          <w:lang w:eastAsia="zh-CN"/>
        </w:rPr>
      </w:pPr>
      <w:r w:rsidRPr="00752E7F">
        <w:rPr>
          <w:b/>
          <w:bCs/>
          <w:u w:val="single"/>
          <w:lang w:eastAsia="x-none"/>
        </w:rPr>
        <w:t>Proposal</w:t>
      </w:r>
      <w:r w:rsidR="0007131F">
        <w:rPr>
          <w:b/>
          <w:bCs/>
          <w:u w:val="single"/>
          <w:lang w:eastAsia="x-none"/>
        </w:rPr>
        <w:t xml:space="preserve"> 3</w:t>
      </w:r>
      <w:r>
        <w:rPr>
          <w:b/>
          <w:bCs/>
          <w:u w:val="single"/>
          <w:lang w:eastAsia="x-none"/>
        </w:rPr>
        <w:t>:</w:t>
      </w:r>
      <w:r w:rsidRPr="0007131F">
        <w:rPr>
          <w:b/>
          <w:bCs/>
          <w:lang w:eastAsia="x-none"/>
        </w:rPr>
        <w:t xml:space="preserve"> </w:t>
      </w:r>
      <w:r w:rsidRPr="00752E7F">
        <w:rPr>
          <w:b/>
          <w:bCs/>
          <w:lang w:eastAsia="zh-CN"/>
        </w:rPr>
        <w:t>For downlink power allocation to support 16QAM</w:t>
      </w:r>
      <w:r w:rsidRPr="00752E7F">
        <w:rPr>
          <w:b/>
          <w:bCs/>
          <w:lang w:eastAsia="zh-CN"/>
        </w:rPr>
        <w:t xml:space="preserve"> in in-band deployments, the following option is selected</w:t>
      </w:r>
      <w:r w:rsidRPr="00752E7F">
        <w:rPr>
          <w:b/>
          <w:bCs/>
          <w:lang w:eastAsia="zh-CN"/>
        </w:rPr>
        <w:t>:</w:t>
      </w:r>
    </w:p>
    <w:p w14:paraId="09E53D08" w14:textId="77777777" w:rsidR="00752E7F" w:rsidRPr="00752E7F" w:rsidRDefault="00752E7F" w:rsidP="00752E7F">
      <w:pPr>
        <w:numPr>
          <w:ilvl w:val="1"/>
          <w:numId w:val="18"/>
        </w:numPr>
        <w:spacing w:after="0"/>
        <w:rPr>
          <w:rFonts w:cs="Times"/>
          <w:b/>
          <w:bCs/>
          <w:lang w:eastAsia="zh-CN"/>
        </w:rPr>
      </w:pPr>
      <w:r w:rsidRPr="00752E7F">
        <w:rPr>
          <w:rFonts w:cs="Times"/>
          <w:b/>
          <w:bCs/>
          <w:lang w:eastAsia="zh-CN"/>
        </w:rPr>
        <w:t xml:space="preserve">Alt 2: </w:t>
      </w:r>
    </w:p>
    <w:p w14:paraId="3A6314C7" w14:textId="187A2A35" w:rsidR="00752E7F" w:rsidRDefault="00752E7F" w:rsidP="00752E7F">
      <w:pPr>
        <w:numPr>
          <w:ilvl w:val="2"/>
          <w:numId w:val="18"/>
        </w:numPr>
        <w:spacing w:after="0"/>
        <w:rPr>
          <w:b/>
          <w:bCs/>
          <w:lang w:eastAsia="zh-CN"/>
        </w:rPr>
      </w:pPr>
      <w:r w:rsidRPr="00752E7F">
        <w:rPr>
          <w:b/>
          <w:bCs/>
          <w:lang w:eastAsia="zh-CN"/>
        </w:rPr>
        <w:t xml:space="preserve">the power ratio between NPDSCH EPRE and NRS EPRE in symbols with CRS is </w:t>
      </w:r>
      <w:proofErr w:type="spellStart"/>
      <w:r w:rsidRPr="00752E7F">
        <w:rPr>
          <w:b/>
          <w:bCs/>
          <w:lang w:eastAsia="zh-CN"/>
        </w:rPr>
        <w:t>signaled</w:t>
      </w:r>
      <w:proofErr w:type="spellEnd"/>
      <w:r w:rsidR="0007131F">
        <w:rPr>
          <w:b/>
          <w:bCs/>
          <w:lang w:eastAsia="zh-CN"/>
        </w:rPr>
        <w:t>.</w:t>
      </w:r>
    </w:p>
    <w:p w14:paraId="21B1E2B0" w14:textId="77777777" w:rsidR="0007131F" w:rsidRDefault="0007131F" w:rsidP="0007131F">
      <w:pPr>
        <w:spacing w:after="0"/>
        <w:ind w:left="2160"/>
        <w:rPr>
          <w:b/>
          <w:bCs/>
          <w:lang w:eastAsia="zh-CN"/>
        </w:rPr>
      </w:pPr>
    </w:p>
    <w:p w14:paraId="3EE17891" w14:textId="6708BEE9" w:rsidR="00752E7F" w:rsidRPr="00752E7F" w:rsidRDefault="00752E7F" w:rsidP="00752E7F">
      <w:pPr>
        <w:spacing w:after="0"/>
        <w:rPr>
          <w:b/>
          <w:bCs/>
          <w:lang w:eastAsia="zh-CN"/>
        </w:rPr>
      </w:pPr>
      <w:r w:rsidRPr="00752E7F">
        <w:rPr>
          <w:b/>
          <w:bCs/>
          <w:u w:val="single"/>
          <w:lang w:eastAsia="zh-CN"/>
        </w:rPr>
        <w:t>Proposal</w:t>
      </w:r>
      <w:r w:rsidR="0007131F">
        <w:rPr>
          <w:b/>
          <w:bCs/>
          <w:u w:val="single"/>
          <w:lang w:eastAsia="zh-CN"/>
        </w:rPr>
        <w:t xml:space="preserve"> 4</w:t>
      </w:r>
      <w:r w:rsidRPr="00752E7F">
        <w:rPr>
          <w:b/>
          <w:bCs/>
          <w:u w:val="single"/>
          <w:lang w:eastAsia="zh-CN"/>
        </w:rPr>
        <w:t>:</w:t>
      </w:r>
      <w:r w:rsidRPr="0007131F">
        <w:rPr>
          <w:b/>
          <w:bCs/>
          <w:lang w:eastAsia="zh-CN"/>
        </w:rPr>
        <w:t xml:space="preserve"> </w:t>
      </w:r>
      <w:r>
        <w:rPr>
          <w:b/>
          <w:bCs/>
          <w:lang w:eastAsia="zh-CN"/>
        </w:rPr>
        <w:t>For in-band deployments, the power ratio between NPDSCH EPRE and NRS EPRE in symbols with NRS is calculated assuming constant power</w:t>
      </w:r>
      <w:r w:rsidR="000115DA">
        <w:rPr>
          <w:b/>
          <w:bCs/>
          <w:lang w:eastAsia="zh-CN"/>
        </w:rPr>
        <w:t xml:space="preserve"> across symbols with NRS and symbols without NRS or CRS</w:t>
      </w:r>
      <w:r>
        <w:rPr>
          <w:b/>
          <w:bCs/>
          <w:lang w:eastAsia="zh-CN"/>
        </w:rPr>
        <w:t>.</w:t>
      </w:r>
    </w:p>
    <w:p w14:paraId="424181B0" w14:textId="77777777" w:rsidR="00752E7F" w:rsidRPr="00793E7B" w:rsidRDefault="00752E7F" w:rsidP="00E61735">
      <w:pPr>
        <w:rPr>
          <w:lang w:eastAsia="x-none"/>
        </w:rPr>
      </w:pPr>
    </w:p>
    <w:p w14:paraId="404940FE" w14:textId="34DB06F2" w:rsidR="00E61735" w:rsidRPr="004F68B1" w:rsidRDefault="00810100" w:rsidP="00874392">
      <w:pPr>
        <w:rPr>
          <w:lang w:val="en-US"/>
        </w:rPr>
      </w:pPr>
      <w:r w:rsidRPr="004F68B1">
        <w:rPr>
          <w:lang w:val="en-US"/>
        </w:rPr>
        <w:t>Regarding whether the parameters above are signaled through unicast or broadcast RRC, we think unicast RRC is more appropriate for the following reasons:</w:t>
      </w:r>
    </w:p>
    <w:p w14:paraId="51A650B3" w14:textId="1E465571" w:rsidR="00810100" w:rsidRPr="004F68B1" w:rsidRDefault="00810100" w:rsidP="00F93256">
      <w:pPr>
        <w:pStyle w:val="ListParagraph"/>
        <w:numPr>
          <w:ilvl w:val="0"/>
          <w:numId w:val="10"/>
        </w:numPr>
        <w:rPr>
          <w:lang w:val="en-US"/>
        </w:rPr>
      </w:pPr>
      <w:r w:rsidRPr="004F68B1">
        <w:rPr>
          <w:lang w:val="en-US"/>
        </w:rPr>
        <w:t>Only UEs configured with 16-QAM will make use of this parameter, and 16-QAM is enabled through unicast RRC.</w:t>
      </w:r>
    </w:p>
    <w:p w14:paraId="0B488D1F" w14:textId="1F3F8BFF" w:rsidR="00810100" w:rsidRPr="004F68B1" w:rsidRDefault="00810100" w:rsidP="00F93256">
      <w:pPr>
        <w:pStyle w:val="ListParagraph"/>
        <w:numPr>
          <w:ilvl w:val="0"/>
          <w:numId w:val="10"/>
        </w:numPr>
        <w:rPr>
          <w:lang w:val="en-US"/>
        </w:rPr>
      </w:pPr>
      <w:r w:rsidRPr="004F68B1">
        <w:rPr>
          <w:lang w:val="en-US"/>
        </w:rPr>
        <w:t>Assuming different carriers may have different power ratios, this parameter needs to be UE-specific (since the unicast carrier configuration is UE-specific).</w:t>
      </w:r>
    </w:p>
    <w:p w14:paraId="63EA7B51" w14:textId="0195D579" w:rsidR="00810100" w:rsidRPr="004F68B1" w:rsidRDefault="00810100" w:rsidP="00810100">
      <w:pPr>
        <w:rPr>
          <w:lang w:val="en-US"/>
        </w:rPr>
      </w:pPr>
      <w:r w:rsidRPr="004F68B1">
        <w:rPr>
          <w:lang w:val="en-US"/>
        </w:rPr>
        <w:t>Therefore, we make the following proposal</w:t>
      </w:r>
      <w:r w:rsidR="0007131F">
        <w:rPr>
          <w:lang w:val="en-US"/>
        </w:rPr>
        <w:t xml:space="preserve"> (note that this is already a working assumption for </w:t>
      </w:r>
      <w:proofErr w:type="spellStart"/>
      <w:r w:rsidR="0007131F">
        <w:rPr>
          <w:lang w:val="en-US"/>
        </w:rPr>
        <w:t>guardband</w:t>
      </w:r>
      <w:proofErr w:type="spellEnd"/>
      <w:r w:rsidR="0007131F">
        <w:rPr>
          <w:lang w:val="en-US"/>
        </w:rPr>
        <w:t xml:space="preserve"> / standalone)</w:t>
      </w:r>
      <w:r w:rsidRPr="004F68B1">
        <w:rPr>
          <w:lang w:val="en-US"/>
        </w:rPr>
        <w:t>:</w:t>
      </w:r>
    </w:p>
    <w:p w14:paraId="72BCC422" w14:textId="16539044" w:rsidR="00810100" w:rsidRPr="004F68B1" w:rsidRDefault="00810100" w:rsidP="00810100">
      <w:pPr>
        <w:rPr>
          <w:b/>
          <w:bCs/>
          <w:lang w:val="en-US"/>
        </w:rPr>
      </w:pPr>
      <w:r w:rsidRPr="004F68B1">
        <w:rPr>
          <w:b/>
          <w:bCs/>
          <w:u w:val="single"/>
          <w:lang w:val="en-US"/>
        </w:rPr>
        <w:t xml:space="preserve">Proposal </w:t>
      </w:r>
      <w:r w:rsidR="0007131F">
        <w:rPr>
          <w:b/>
          <w:bCs/>
          <w:u w:val="single"/>
          <w:lang w:val="en-US"/>
        </w:rPr>
        <w:t>5</w:t>
      </w:r>
      <w:r w:rsidRPr="004F68B1">
        <w:rPr>
          <w:b/>
          <w:bCs/>
          <w:u w:val="single"/>
          <w:lang w:val="en-US"/>
        </w:rPr>
        <w:t>:</w:t>
      </w:r>
      <w:r w:rsidRPr="004F68B1">
        <w:rPr>
          <w:b/>
          <w:bCs/>
          <w:lang w:val="en-US"/>
        </w:rPr>
        <w:t xml:space="preserve"> The signaling related to downlink power allocation to support 16-QAM is UE-specific.</w:t>
      </w:r>
    </w:p>
    <w:p w14:paraId="2CBA1D80" w14:textId="77777777" w:rsidR="002131AD" w:rsidRPr="004F68B1" w:rsidRDefault="002131AD" w:rsidP="00606AEB">
      <w:pPr>
        <w:rPr>
          <w:b/>
          <w:bCs/>
          <w:lang w:val="en-US"/>
        </w:rPr>
      </w:pPr>
    </w:p>
    <w:p w14:paraId="0B6E7E21" w14:textId="62176EF6" w:rsidR="00874392" w:rsidRPr="004F68B1" w:rsidRDefault="00874392" w:rsidP="00874392">
      <w:pPr>
        <w:pStyle w:val="Heading1"/>
        <w:numPr>
          <w:ilvl w:val="0"/>
          <w:numId w:val="1"/>
        </w:numPr>
        <w:tabs>
          <w:tab w:val="clear" w:pos="1140"/>
          <w:tab w:val="num" w:pos="720"/>
        </w:tabs>
        <w:ind w:left="720" w:hanging="720"/>
        <w:jc w:val="both"/>
        <w:rPr>
          <w:lang w:val="en-US"/>
        </w:rPr>
      </w:pPr>
      <w:r w:rsidRPr="004F68B1">
        <w:rPr>
          <w:lang w:val="en-US"/>
        </w:rPr>
        <w:t>Uplink aspects</w:t>
      </w:r>
    </w:p>
    <w:p w14:paraId="2D1D1970" w14:textId="403599DA" w:rsidR="000911B4" w:rsidRPr="00F53713" w:rsidRDefault="00E571C2" w:rsidP="000911B4">
      <w:pPr>
        <w:rPr>
          <w:b/>
          <w:bCs/>
          <w:lang w:val="en-US"/>
        </w:rPr>
      </w:pPr>
      <w:r w:rsidRPr="004F68B1">
        <w:rPr>
          <w:lang w:val="en-US"/>
        </w:rPr>
        <w:br/>
      </w:r>
      <w:r w:rsidR="00F53713">
        <w:rPr>
          <w:lang w:val="en-US"/>
        </w:rPr>
        <w:t xml:space="preserve">For PUR, we propose to confirm the working assumption on supporting 16-QAM for uplink during the PUR procedure. Additionally, we propose to add a flag in </w:t>
      </w:r>
      <w:r w:rsidR="00F53713" w:rsidRPr="00F53713">
        <w:rPr>
          <w:i/>
          <w:iCs/>
          <w:lang w:val="en-US"/>
        </w:rPr>
        <w:t>PUR-Config</w:t>
      </w:r>
      <w:r w:rsidR="00F53713">
        <w:rPr>
          <w:lang w:val="en-US"/>
        </w:rPr>
        <w:t xml:space="preserve"> to enable 16-QAM.</w:t>
      </w:r>
    </w:p>
    <w:p w14:paraId="428AEF9B" w14:textId="57F8A6D2" w:rsidR="00F53713" w:rsidRDefault="002131AD" w:rsidP="002131AD">
      <w:pPr>
        <w:rPr>
          <w:b/>
          <w:bCs/>
          <w:lang w:val="en-US"/>
        </w:rPr>
      </w:pPr>
      <w:r w:rsidRPr="004F68B1">
        <w:rPr>
          <w:b/>
          <w:bCs/>
          <w:u w:val="single"/>
          <w:lang w:val="en-US"/>
        </w:rPr>
        <w:t xml:space="preserve">Proposal </w:t>
      </w:r>
      <w:r w:rsidR="00C733BB">
        <w:rPr>
          <w:b/>
          <w:bCs/>
          <w:u w:val="single"/>
          <w:lang w:val="en-US"/>
        </w:rPr>
        <w:t>6</w:t>
      </w:r>
      <w:r w:rsidRPr="004F68B1">
        <w:rPr>
          <w:b/>
          <w:bCs/>
          <w:u w:val="single"/>
          <w:lang w:val="en-US"/>
        </w:rPr>
        <w:t>:</w:t>
      </w:r>
      <w:r w:rsidRPr="004F68B1">
        <w:rPr>
          <w:b/>
          <w:bCs/>
          <w:lang w:val="en-US"/>
        </w:rPr>
        <w:t xml:space="preserve"> </w:t>
      </w:r>
      <w:r w:rsidR="00F53713">
        <w:rPr>
          <w:b/>
          <w:bCs/>
          <w:lang w:val="en-US"/>
        </w:rPr>
        <w:t xml:space="preserve">Confirm the following working assumption: </w:t>
      </w:r>
    </w:p>
    <w:p w14:paraId="05E6EC9D" w14:textId="07C81025" w:rsidR="00F53713" w:rsidRDefault="00F53713" w:rsidP="00F53713">
      <w:pPr>
        <w:pStyle w:val="ListParagraph"/>
        <w:numPr>
          <w:ilvl w:val="0"/>
          <w:numId w:val="20"/>
        </w:numPr>
        <w:rPr>
          <w:b/>
          <w:bCs/>
          <w:lang w:val="en-US"/>
        </w:rPr>
      </w:pPr>
      <w:r w:rsidRPr="00F53713">
        <w:rPr>
          <w:b/>
          <w:bCs/>
          <w:lang w:val="en-US"/>
        </w:rPr>
        <w:t>Support 16-QAM for NPUSCH in PUR procedure.</w:t>
      </w:r>
    </w:p>
    <w:p w14:paraId="208A20C5" w14:textId="77777777" w:rsidR="00F53713" w:rsidRDefault="00F53713" w:rsidP="00F53713">
      <w:pPr>
        <w:pStyle w:val="ListParagraph"/>
        <w:rPr>
          <w:b/>
          <w:bCs/>
          <w:lang w:val="en-US"/>
        </w:rPr>
      </w:pPr>
    </w:p>
    <w:p w14:paraId="21201C68" w14:textId="0E47F658" w:rsidR="00F53713" w:rsidRPr="00F53713" w:rsidRDefault="00F53713" w:rsidP="00F53713">
      <w:pPr>
        <w:rPr>
          <w:b/>
          <w:bCs/>
          <w:lang w:val="en-US"/>
        </w:rPr>
      </w:pPr>
      <w:r w:rsidRPr="00F53713">
        <w:rPr>
          <w:b/>
          <w:bCs/>
          <w:u w:val="single"/>
          <w:lang w:val="en-US"/>
        </w:rPr>
        <w:t xml:space="preserve">Proposal </w:t>
      </w:r>
      <w:r w:rsidR="00C733BB">
        <w:rPr>
          <w:b/>
          <w:bCs/>
          <w:u w:val="single"/>
          <w:lang w:val="en-US"/>
        </w:rPr>
        <w:t>7</w:t>
      </w:r>
      <w:r w:rsidRPr="00F53713">
        <w:rPr>
          <w:b/>
          <w:bCs/>
          <w:u w:val="single"/>
          <w:lang w:val="en-US"/>
        </w:rPr>
        <w:t>:</w:t>
      </w:r>
      <w:r>
        <w:rPr>
          <w:b/>
          <w:bCs/>
          <w:lang w:val="en-US"/>
        </w:rPr>
        <w:t xml:space="preserve"> </w:t>
      </w:r>
      <w:r w:rsidRPr="00F53713">
        <w:rPr>
          <w:b/>
          <w:bCs/>
          <w:lang w:val="en-US"/>
        </w:rPr>
        <w:t xml:space="preserve">Include </w:t>
      </w:r>
      <w:r w:rsidRPr="00F53713">
        <w:rPr>
          <w:b/>
          <w:bCs/>
          <w:lang w:val="en-US"/>
        </w:rPr>
        <w:t>a</w:t>
      </w:r>
      <w:r w:rsidRPr="00F53713">
        <w:rPr>
          <w:b/>
          <w:bCs/>
          <w:lang w:val="en-US"/>
        </w:rPr>
        <w:t xml:space="preserve"> configuration flag in </w:t>
      </w:r>
      <w:r w:rsidRPr="00F53713">
        <w:rPr>
          <w:b/>
          <w:bCs/>
          <w:i/>
          <w:iCs/>
          <w:lang w:val="en-US"/>
        </w:rPr>
        <w:t>PUR-Config</w:t>
      </w:r>
      <w:r>
        <w:rPr>
          <w:b/>
          <w:bCs/>
          <w:lang w:val="en-US"/>
        </w:rPr>
        <w:t xml:space="preserve"> to enable 16-QAM.</w:t>
      </w:r>
    </w:p>
    <w:p w14:paraId="76D93583" w14:textId="77777777" w:rsidR="00F53713" w:rsidRPr="00F53713" w:rsidRDefault="00F53713" w:rsidP="002131AD">
      <w:pPr>
        <w:rPr>
          <w:b/>
          <w:bCs/>
        </w:rPr>
      </w:pPr>
    </w:p>
    <w:p w14:paraId="11FDB6D4" w14:textId="00EB9DCA" w:rsidR="002131AD" w:rsidRDefault="00C932B3" w:rsidP="000911B4">
      <w:pPr>
        <w:rPr>
          <w:lang w:val="en-US"/>
        </w:rPr>
      </w:pPr>
      <w:r w:rsidRPr="00C932B3">
        <w:rPr>
          <w:lang w:val="en-US"/>
        </w:rPr>
        <w:t xml:space="preserve">For uplink </w:t>
      </w:r>
      <w:r>
        <w:rPr>
          <w:lang w:val="en-US"/>
        </w:rPr>
        <w:t>power allocation, we propose to reuse the mechanism used in LTE (</w:t>
      </w:r>
      <m:oMath>
        <m:sSub>
          <m:sSubPr>
            <m:ctrlPr>
              <w:rPr>
                <w:rFonts w:ascii="Cambria Math" w:hAnsi="Cambria Math"/>
                <w:i/>
                <w:lang w:val="en-US"/>
              </w:rPr>
            </m:ctrlPr>
          </m:sSubPr>
          <m:e>
            <m:r>
              <m:rPr>
                <m:sty m:val="p"/>
              </m:rPr>
              <w:rPr>
                <w:rFonts w:ascii="Cambria Math" w:hAnsi="Cambria Math"/>
                <w:lang w:val="en-US"/>
              </w:rPr>
              <m:t>Δ</m:t>
            </m:r>
            <m:ctrlPr>
              <w:rPr>
                <w:rFonts w:ascii="Cambria Math" w:hAnsi="Cambria Math"/>
                <w:lang w:val="en-US"/>
              </w:rPr>
            </m:ctrlPr>
          </m:e>
          <m:sub>
            <m:r>
              <w:rPr>
                <w:rFonts w:ascii="Cambria Math" w:hAnsi="Cambria Math"/>
                <w:lang w:val="en-US"/>
              </w:rPr>
              <m:t>TF</m:t>
            </m:r>
          </m:sub>
        </m:sSub>
      </m:oMath>
      <w:r w:rsidR="00BA7DD1">
        <w:rPr>
          <w:lang w:val="en-US"/>
        </w:rPr>
        <w:t xml:space="preserve"> with corresponding parameter </w:t>
      </w:r>
      <w:proofErr w:type="spellStart"/>
      <w:r w:rsidR="00BA7DD1">
        <w:rPr>
          <w:i/>
          <w:iCs/>
          <w:lang w:val="en-US"/>
        </w:rPr>
        <w:t>deltaMCS</w:t>
      </w:r>
      <w:proofErr w:type="spellEnd"/>
      <w:r w:rsidR="00BA7DD1">
        <w:rPr>
          <w:i/>
          <w:iCs/>
          <w:lang w:val="en-US"/>
        </w:rPr>
        <w:t>-Enabled</w:t>
      </w:r>
      <w:r w:rsidR="00BA7DD1">
        <w:rPr>
          <w:lang w:val="en-US"/>
        </w:rPr>
        <w:t>). This comprises the following:</w:t>
      </w:r>
    </w:p>
    <w:p w14:paraId="6A1100F5" w14:textId="13534367" w:rsidR="00BA7DD1" w:rsidRDefault="00BA7DD1" w:rsidP="00BA7DD1">
      <w:pPr>
        <w:pStyle w:val="ListParagraph"/>
        <w:numPr>
          <w:ilvl w:val="0"/>
          <w:numId w:val="20"/>
        </w:numPr>
        <w:rPr>
          <w:lang w:val="en-US"/>
        </w:rPr>
      </w:pPr>
      <w:r>
        <w:rPr>
          <w:lang w:val="en-US"/>
        </w:rPr>
        <w:t xml:space="preserve">Add a correction term </w:t>
      </w:r>
      <m:oMath>
        <m:sSub>
          <m:sSubPr>
            <m:ctrlPr>
              <w:rPr>
                <w:rFonts w:ascii="Cambria Math" w:hAnsi="Cambria Math"/>
                <w:i/>
                <w:lang w:val="en-US"/>
              </w:rPr>
            </m:ctrlPr>
          </m:sSubPr>
          <m:e>
            <m:r>
              <m:rPr>
                <m:sty m:val="p"/>
              </m:rPr>
              <w:rPr>
                <w:rFonts w:ascii="Cambria Math" w:hAnsi="Cambria Math"/>
                <w:lang w:val="en-US"/>
              </w:rPr>
              <m:t>Δ</m:t>
            </m:r>
            <m:ctrlPr>
              <w:rPr>
                <w:rFonts w:ascii="Cambria Math" w:hAnsi="Cambria Math"/>
                <w:lang w:val="en-US"/>
              </w:rPr>
            </m:ctrlPr>
          </m:e>
          <m:sub>
            <m:r>
              <w:rPr>
                <w:rFonts w:ascii="Cambria Math" w:hAnsi="Cambria Math"/>
                <w:lang w:val="en-US"/>
              </w:rPr>
              <m:t>TF</m:t>
            </m:r>
          </m:sub>
        </m:sSub>
      </m:oMath>
      <w:r>
        <w:rPr>
          <w:lang w:val="en-US"/>
        </w:rPr>
        <w:t xml:space="preserve"> in the power control equation.</w:t>
      </w:r>
    </w:p>
    <w:p w14:paraId="7C4D9204" w14:textId="4DF56ECC" w:rsidR="00BA7DD1" w:rsidRPr="00C733BB" w:rsidRDefault="00BA7DD1" w:rsidP="00BA7DD1">
      <w:pPr>
        <w:pStyle w:val="ListParagraph"/>
        <w:numPr>
          <w:ilvl w:val="0"/>
          <w:numId w:val="20"/>
        </w:numPr>
        <w:rPr>
          <w:lang w:val="en-US"/>
        </w:rPr>
      </w:pPr>
      <w:r>
        <w:rPr>
          <w:lang w:val="en-US"/>
        </w:rPr>
        <w:t xml:space="preserve">Add a configuration parameter </w:t>
      </w:r>
      <w:proofErr w:type="spellStart"/>
      <w:r>
        <w:rPr>
          <w:i/>
          <w:iCs/>
          <w:lang w:val="en-US"/>
        </w:rPr>
        <w:t>deltaMCS</w:t>
      </w:r>
      <w:proofErr w:type="spellEnd"/>
      <w:r>
        <w:rPr>
          <w:i/>
          <w:iCs/>
          <w:lang w:val="en-US"/>
        </w:rPr>
        <w:t>-Enabled</w:t>
      </w:r>
    </w:p>
    <w:p w14:paraId="5BA87727" w14:textId="71717DF2" w:rsidR="00C733BB" w:rsidRDefault="00C733BB" w:rsidP="00BA7DD1">
      <w:pPr>
        <w:pStyle w:val="ListParagraph"/>
        <w:numPr>
          <w:ilvl w:val="0"/>
          <w:numId w:val="20"/>
        </w:numPr>
        <w:rPr>
          <w:lang w:val="en-US"/>
        </w:rPr>
      </w:pPr>
      <w:r w:rsidRPr="00C733BB">
        <w:rPr>
          <w:lang w:val="en-US"/>
        </w:rPr>
        <w:t xml:space="preserve">Add </w:t>
      </w:r>
      <w:r>
        <w:rPr>
          <w:lang w:val="en-US"/>
        </w:rPr>
        <w:t>the definition of BPRE as in LTE.</w:t>
      </w:r>
    </w:p>
    <w:p w14:paraId="29F9AB78" w14:textId="77777777" w:rsidR="00C733BB" w:rsidRPr="00C733BB" w:rsidRDefault="00C733BB" w:rsidP="00C733BB">
      <w:pPr>
        <w:rPr>
          <w:lang w:val="en-US"/>
        </w:rPr>
      </w:pPr>
    </w:p>
    <w:p w14:paraId="1D1F2619" w14:textId="0DA03459" w:rsidR="00C733BB" w:rsidRDefault="00C733BB" w:rsidP="00C733BB">
      <w:pPr>
        <w:rPr>
          <w:b/>
          <w:bCs/>
          <w:lang w:val="en-US"/>
        </w:rPr>
      </w:pPr>
      <w:r w:rsidRPr="00C733BB">
        <w:rPr>
          <w:b/>
          <w:bCs/>
          <w:u w:val="single"/>
          <w:lang w:val="en-US"/>
        </w:rPr>
        <w:t xml:space="preserve">Proposal </w:t>
      </w:r>
      <w:r>
        <w:rPr>
          <w:b/>
          <w:bCs/>
          <w:u w:val="single"/>
          <w:lang w:val="en-US"/>
        </w:rPr>
        <w:t>8</w:t>
      </w:r>
      <w:r w:rsidRPr="00C733BB">
        <w:rPr>
          <w:b/>
          <w:bCs/>
          <w:u w:val="single"/>
          <w:lang w:val="en-US"/>
        </w:rPr>
        <w:t>:</w:t>
      </w:r>
      <w:r>
        <w:rPr>
          <w:b/>
          <w:bCs/>
          <w:lang w:val="en-US"/>
        </w:rPr>
        <w:t xml:space="preserve"> For uplink power control, introduce the following specification changes:</w:t>
      </w:r>
    </w:p>
    <w:p w14:paraId="36C9BC34" w14:textId="53DA1C03" w:rsidR="00C733BB" w:rsidRPr="00C733BB" w:rsidRDefault="00C733BB" w:rsidP="00C733BB">
      <w:pPr>
        <w:pStyle w:val="ListParagraph"/>
        <w:numPr>
          <w:ilvl w:val="0"/>
          <w:numId w:val="20"/>
        </w:numPr>
        <w:rPr>
          <w:b/>
          <w:bCs/>
          <w:lang w:val="en-US"/>
        </w:rPr>
      </w:pPr>
      <w:r w:rsidRPr="00C733BB">
        <w:rPr>
          <w:b/>
          <w:bCs/>
          <w:lang w:val="en-US"/>
        </w:rPr>
        <w:t xml:space="preserve">Add a correction term </w:t>
      </w:r>
      <m:oMath>
        <m:sSub>
          <m:sSubPr>
            <m:ctrlPr>
              <w:rPr>
                <w:rFonts w:ascii="Cambria Math" w:hAnsi="Cambria Math"/>
                <w:b/>
                <w:bCs/>
                <w:i/>
                <w:lang w:val="en-US"/>
              </w:rPr>
            </m:ctrlPr>
          </m:sSubPr>
          <m:e>
            <m:r>
              <m:rPr>
                <m:sty m:val="b"/>
              </m:rPr>
              <w:rPr>
                <w:rFonts w:ascii="Cambria Math" w:hAnsi="Cambria Math"/>
                <w:lang w:val="en-US"/>
              </w:rPr>
              <m:t>Δ</m:t>
            </m:r>
            <m:ctrlPr>
              <w:rPr>
                <w:rFonts w:ascii="Cambria Math" w:hAnsi="Cambria Math"/>
                <w:b/>
                <w:bCs/>
                <w:lang w:val="en-US"/>
              </w:rPr>
            </m:ctrlPr>
          </m:e>
          <m:sub>
            <m:r>
              <m:rPr>
                <m:sty m:val="bi"/>
              </m:rPr>
              <w:rPr>
                <w:rFonts w:ascii="Cambria Math" w:hAnsi="Cambria Math"/>
                <w:lang w:val="en-US"/>
              </w:rPr>
              <m:t>TF</m:t>
            </m:r>
          </m:sub>
        </m:sSub>
      </m:oMath>
      <w:r w:rsidRPr="00C733BB">
        <w:rPr>
          <w:b/>
          <w:bCs/>
          <w:lang w:val="en-US"/>
        </w:rPr>
        <w:t xml:space="preserve"> in the power control equation.</w:t>
      </w:r>
    </w:p>
    <w:p w14:paraId="7445F6A5" w14:textId="77777777" w:rsidR="00C733BB" w:rsidRPr="00C733BB" w:rsidRDefault="00C733BB" w:rsidP="00C733BB">
      <w:pPr>
        <w:pStyle w:val="ListParagraph"/>
        <w:numPr>
          <w:ilvl w:val="0"/>
          <w:numId w:val="20"/>
        </w:numPr>
        <w:rPr>
          <w:b/>
          <w:bCs/>
          <w:lang w:val="en-US"/>
        </w:rPr>
      </w:pPr>
      <w:r w:rsidRPr="00C733BB">
        <w:rPr>
          <w:b/>
          <w:bCs/>
          <w:lang w:val="en-US"/>
        </w:rPr>
        <w:t xml:space="preserve">Add a configuration parameter </w:t>
      </w:r>
      <w:proofErr w:type="spellStart"/>
      <w:r w:rsidRPr="00C733BB">
        <w:rPr>
          <w:b/>
          <w:bCs/>
          <w:i/>
          <w:iCs/>
          <w:lang w:val="en-US"/>
        </w:rPr>
        <w:t>deltaMCS</w:t>
      </w:r>
      <w:proofErr w:type="spellEnd"/>
      <w:r w:rsidRPr="00C733BB">
        <w:rPr>
          <w:b/>
          <w:bCs/>
          <w:i/>
          <w:iCs/>
          <w:lang w:val="en-US"/>
        </w:rPr>
        <w:t>-Enabled</w:t>
      </w:r>
    </w:p>
    <w:p w14:paraId="3B141D64" w14:textId="77777777" w:rsidR="00C733BB" w:rsidRPr="00C733BB" w:rsidRDefault="00C733BB" w:rsidP="00C733BB">
      <w:pPr>
        <w:pStyle w:val="ListParagraph"/>
        <w:numPr>
          <w:ilvl w:val="0"/>
          <w:numId w:val="20"/>
        </w:numPr>
        <w:rPr>
          <w:b/>
          <w:bCs/>
          <w:lang w:val="en-US"/>
        </w:rPr>
      </w:pPr>
      <w:r w:rsidRPr="00C733BB">
        <w:rPr>
          <w:b/>
          <w:bCs/>
          <w:lang w:val="en-US"/>
        </w:rPr>
        <w:t>Add the definition of BPRE as in LTE.</w:t>
      </w:r>
    </w:p>
    <w:p w14:paraId="08B8DB82" w14:textId="77777777" w:rsidR="00C733BB" w:rsidRPr="00C733BB" w:rsidRDefault="00C733BB" w:rsidP="00C733BB">
      <w:pPr>
        <w:rPr>
          <w:b/>
          <w:bCs/>
          <w:lang w:val="en-US"/>
        </w:rPr>
      </w:pPr>
    </w:p>
    <w:p w14:paraId="36BDF61C" w14:textId="77777777" w:rsidR="00CE638D" w:rsidRPr="004F68B1" w:rsidRDefault="00CE638D" w:rsidP="000911B4">
      <w:pPr>
        <w:rPr>
          <w:b/>
          <w:bCs/>
          <w:lang w:val="en-US"/>
        </w:rPr>
      </w:pPr>
    </w:p>
    <w:p w14:paraId="1718F6EB" w14:textId="77777777" w:rsidR="004F68B1" w:rsidRPr="004F68B1" w:rsidRDefault="004F68B1" w:rsidP="000911B4">
      <w:pPr>
        <w:rPr>
          <w:b/>
          <w:bCs/>
          <w:lang w:val="en-US"/>
        </w:rPr>
      </w:pPr>
    </w:p>
    <w:p w14:paraId="72FCCC8A" w14:textId="1D08AA9D" w:rsidR="00874392" w:rsidRPr="004F68B1" w:rsidRDefault="00874392" w:rsidP="00874392">
      <w:pPr>
        <w:pStyle w:val="Heading1"/>
        <w:numPr>
          <w:ilvl w:val="0"/>
          <w:numId w:val="1"/>
        </w:numPr>
        <w:tabs>
          <w:tab w:val="clear" w:pos="1140"/>
          <w:tab w:val="num" w:pos="720"/>
        </w:tabs>
        <w:ind w:left="720" w:hanging="720"/>
        <w:jc w:val="both"/>
        <w:rPr>
          <w:lang w:val="en-US"/>
        </w:rPr>
      </w:pPr>
      <w:r w:rsidRPr="004F68B1">
        <w:rPr>
          <w:lang w:val="en-US"/>
        </w:rPr>
        <w:lastRenderedPageBreak/>
        <w:t>Conclusion</w:t>
      </w:r>
    </w:p>
    <w:p w14:paraId="0FFAAE8A" w14:textId="73D7186D" w:rsidR="000236C6" w:rsidRPr="004F68B1" w:rsidRDefault="000236C6" w:rsidP="006C1D96">
      <w:pPr>
        <w:rPr>
          <w:lang w:val="en-US"/>
        </w:rPr>
      </w:pPr>
      <w:r w:rsidRPr="004F68B1">
        <w:rPr>
          <w:lang w:val="en-US"/>
        </w:rPr>
        <w:t xml:space="preserve">In this contribution we presented our views on supporting 16-QAM for NB-IoT. </w:t>
      </w:r>
      <w:r w:rsidR="00DC2442" w:rsidRPr="004F68B1">
        <w:rPr>
          <w:lang w:val="en-US"/>
        </w:rPr>
        <w:t>We made the following proposals</w:t>
      </w:r>
      <w:r w:rsidR="00CE638D" w:rsidRPr="004F68B1">
        <w:rPr>
          <w:lang w:val="en-US"/>
        </w:rPr>
        <w:t>:</w:t>
      </w:r>
    </w:p>
    <w:p w14:paraId="0B6A0206" w14:textId="19603B6F" w:rsidR="00C733BB" w:rsidRDefault="00C733BB" w:rsidP="00C733BB">
      <w:pPr>
        <w:rPr>
          <w:b/>
          <w:bCs/>
          <w:lang w:val="en-US"/>
        </w:rPr>
      </w:pPr>
      <w:r w:rsidRPr="004F68B1">
        <w:rPr>
          <w:b/>
          <w:bCs/>
          <w:u w:val="single"/>
          <w:lang w:val="en-US"/>
        </w:rPr>
        <w:t>Proposal 1:</w:t>
      </w:r>
      <w:r w:rsidRPr="004F68B1">
        <w:rPr>
          <w:b/>
          <w:bCs/>
          <w:lang w:val="en-US"/>
        </w:rPr>
        <w:t xml:space="preserve"> Do not support DL 16-QAM during PUR procedure.</w:t>
      </w:r>
    </w:p>
    <w:p w14:paraId="1BD4C614" w14:textId="77777777" w:rsidR="00C733BB" w:rsidRPr="004F68B1" w:rsidRDefault="00C733BB" w:rsidP="00C733BB">
      <w:pPr>
        <w:rPr>
          <w:b/>
          <w:bCs/>
          <w:lang w:val="en-US"/>
        </w:rPr>
      </w:pPr>
    </w:p>
    <w:p w14:paraId="5FEA7148" w14:textId="77777777" w:rsidR="00C733BB" w:rsidRPr="00793E7B" w:rsidRDefault="00C733BB" w:rsidP="00C733BB">
      <w:pPr>
        <w:rPr>
          <w:b/>
          <w:bCs/>
          <w:lang w:val="en-US"/>
        </w:rPr>
      </w:pPr>
      <w:r w:rsidRPr="00793E7B">
        <w:rPr>
          <w:b/>
          <w:bCs/>
          <w:u w:val="single"/>
          <w:lang w:val="en-US"/>
        </w:rPr>
        <w:t>Proposal</w:t>
      </w:r>
      <w:r>
        <w:rPr>
          <w:b/>
          <w:bCs/>
          <w:u w:val="single"/>
          <w:lang w:val="en-US"/>
        </w:rPr>
        <w:t xml:space="preserve"> 2</w:t>
      </w:r>
      <w:r w:rsidRPr="00793E7B">
        <w:rPr>
          <w:b/>
          <w:bCs/>
          <w:u w:val="single"/>
          <w:lang w:val="en-US"/>
        </w:rPr>
        <w:t>:</w:t>
      </w:r>
      <w:r>
        <w:rPr>
          <w:lang w:val="en-US"/>
        </w:rPr>
        <w:t xml:space="preserve"> </w:t>
      </w:r>
      <w:r w:rsidRPr="00793E7B">
        <w:rPr>
          <w:b/>
          <w:bCs/>
          <w:lang w:val="en-US"/>
        </w:rPr>
        <w:t>Confirm the following working assumption:</w:t>
      </w:r>
    </w:p>
    <w:p w14:paraId="4008C0A8" w14:textId="77777777" w:rsidR="00C733BB" w:rsidRPr="00793E7B" w:rsidRDefault="00C733BB" w:rsidP="00C733BB">
      <w:pPr>
        <w:pStyle w:val="Caption"/>
        <w:spacing w:before="0" w:after="0"/>
        <w:ind w:left="360"/>
        <w:rPr>
          <w:rFonts w:ascii="Times" w:hAnsi="Times" w:cs="Times"/>
        </w:rPr>
      </w:pPr>
      <w:r w:rsidRPr="00793E7B">
        <w:rPr>
          <w:rFonts w:ascii="Times" w:hAnsi="Times" w:cs="Times"/>
        </w:rPr>
        <w:t>For downlink power allocation to support 16QAM:</w:t>
      </w:r>
    </w:p>
    <w:p w14:paraId="2AD3BD48" w14:textId="77777777" w:rsidR="00C733BB" w:rsidRPr="00793E7B" w:rsidRDefault="00C733BB" w:rsidP="00C733BB">
      <w:pPr>
        <w:pStyle w:val="ListParagraph"/>
        <w:numPr>
          <w:ilvl w:val="0"/>
          <w:numId w:val="14"/>
        </w:numPr>
        <w:overflowPunct/>
        <w:autoSpaceDE/>
        <w:autoSpaceDN/>
        <w:adjustRightInd/>
        <w:spacing w:after="0"/>
        <w:ind w:left="1080"/>
        <w:contextualSpacing w:val="0"/>
        <w:jc w:val="both"/>
        <w:textAlignment w:val="auto"/>
        <w:rPr>
          <w:rFonts w:cs="Times"/>
          <w:b/>
          <w:bCs/>
        </w:rPr>
      </w:pPr>
      <w:r w:rsidRPr="00793E7B">
        <w:rPr>
          <w:rFonts w:cs="Times"/>
          <w:b/>
          <w:bCs/>
        </w:rPr>
        <w:t>For standalone and guard-band deployments:</w:t>
      </w:r>
    </w:p>
    <w:p w14:paraId="18113B3D" w14:textId="77777777" w:rsidR="00C733BB" w:rsidRPr="00793E7B" w:rsidRDefault="00C733BB" w:rsidP="00C733BB">
      <w:pPr>
        <w:pStyle w:val="ListParagraph"/>
        <w:numPr>
          <w:ilvl w:val="1"/>
          <w:numId w:val="14"/>
        </w:numPr>
        <w:overflowPunct/>
        <w:autoSpaceDE/>
        <w:autoSpaceDN/>
        <w:adjustRightInd/>
        <w:spacing w:after="0"/>
        <w:ind w:left="1800"/>
        <w:contextualSpacing w:val="0"/>
        <w:jc w:val="both"/>
        <w:textAlignment w:val="auto"/>
        <w:rPr>
          <w:rFonts w:cs="Times"/>
          <w:b/>
          <w:bCs/>
        </w:rPr>
      </w:pPr>
      <w:r w:rsidRPr="00793E7B">
        <w:rPr>
          <w:rFonts w:cs="Times"/>
          <w:b/>
          <w:bCs/>
        </w:rPr>
        <w:t xml:space="preserve">One power ratio is </w:t>
      </w:r>
      <w:proofErr w:type="spellStart"/>
      <w:r w:rsidRPr="00793E7B">
        <w:rPr>
          <w:rFonts w:cs="Times"/>
          <w:b/>
          <w:bCs/>
        </w:rPr>
        <w:t>signaled</w:t>
      </w:r>
      <w:proofErr w:type="spellEnd"/>
      <w:r w:rsidRPr="00793E7B">
        <w:rPr>
          <w:rFonts w:cs="Times"/>
          <w:b/>
          <w:bCs/>
        </w:rPr>
        <w:t xml:space="preserve"> optionally</w:t>
      </w:r>
    </w:p>
    <w:p w14:paraId="681A62F5" w14:textId="77777777" w:rsidR="00C733BB" w:rsidRPr="00793E7B" w:rsidRDefault="00C733BB" w:rsidP="00C733BB">
      <w:pPr>
        <w:pStyle w:val="ListParagraph"/>
        <w:numPr>
          <w:ilvl w:val="2"/>
          <w:numId w:val="14"/>
        </w:numPr>
        <w:overflowPunct/>
        <w:autoSpaceDE/>
        <w:autoSpaceDN/>
        <w:adjustRightInd/>
        <w:spacing w:after="0"/>
        <w:ind w:left="2520"/>
        <w:contextualSpacing w:val="0"/>
        <w:jc w:val="both"/>
        <w:textAlignment w:val="auto"/>
        <w:rPr>
          <w:rFonts w:cs="Times"/>
          <w:b/>
          <w:bCs/>
        </w:rPr>
      </w:pPr>
      <w:r w:rsidRPr="00793E7B">
        <w:rPr>
          <w:rFonts w:cs="Times"/>
          <w:b/>
          <w:bCs/>
        </w:rPr>
        <w:t>NPDSCH EPRE to NRS EPRE in symbols without NRS</w:t>
      </w:r>
    </w:p>
    <w:p w14:paraId="57533C00" w14:textId="77777777" w:rsidR="00C733BB" w:rsidRPr="00793E7B" w:rsidRDefault="00C733BB" w:rsidP="00C733BB">
      <w:pPr>
        <w:pStyle w:val="ListParagraph"/>
        <w:numPr>
          <w:ilvl w:val="1"/>
          <w:numId w:val="14"/>
        </w:numPr>
        <w:overflowPunct/>
        <w:autoSpaceDE/>
        <w:autoSpaceDN/>
        <w:adjustRightInd/>
        <w:spacing w:after="0"/>
        <w:ind w:left="1800"/>
        <w:contextualSpacing w:val="0"/>
        <w:jc w:val="both"/>
        <w:textAlignment w:val="auto"/>
        <w:rPr>
          <w:rFonts w:cs="Times"/>
          <w:b/>
          <w:bCs/>
        </w:rPr>
      </w:pPr>
      <w:r w:rsidRPr="00793E7B">
        <w:rPr>
          <w:rFonts w:cs="Times"/>
          <w:b/>
          <w:bCs/>
        </w:rPr>
        <w:t>The same transmit power is assumed across different symbols.</w:t>
      </w:r>
    </w:p>
    <w:p w14:paraId="2F31B487" w14:textId="77777777" w:rsidR="00C733BB" w:rsidRPr="00793E7B" w:rsidRDefault="00C733BB" w:rsidP="00C733BB">
      <w:pPr>
        <w:pStyle w:val="ListParagraph"/>
        <w:numPr>
          <w:ilvl w:val="1"/>
          <w:numId w:val="14"/>
        </w:numPr>
        <w:overflowPunct/>
        <w:autoSpaceDE/>
        <w:autoSpaceDN/>
        <w:adjustRightInd/>
        <w:spacing w:after="0"/>
        <w:ind w:left="1800"/>
        <w:contextualSpacing w:val="0"/>
        <w:jc w:val="both"/>
        <w:textAlignment w:val="auto"/>
        <w:rPr>
          <w:rFonts w:cs="Times"/>
          <w:b/>
          <w:bCs/>
        </w:rPr>
      </w:pPr>
      <w:r w:rsidRPr="00793E7B">
        <w:rPr>
          <w:rFonts w:cs="Times"/>
          <w:b/>
          <w:bCs/>
        </w:rPr>
        <w:t>If the signalling is not indicated, the legacy power allocation is used.</w:t>
      </w:r>
    </w:p>
    <w:p w14:paraId="20E7616F" w14:textId="77777777" w:rsidR="00C733BB" w:rsidRPr="00793E7B" w:rsidRDefault="00C733BB" w:rsidP="00C733BB">
      <w:pPr>
        <w:pStyle w:val="ListParagraph"/>
        <w:numPr>
          <w:ilvl w:val="2"/>
          <w:numId w:val="14"/>
        </w:numPr>
        <w:overflowPunct/>
        <w:autoSpaceDE/>
        <w:autoSpaceDN/>
        <w:adjustRightInd/>
        <w:spacing w:after="0"/>
        <w:ind w:left="2520"/>
        <w:contextualSpacing w:val="0"/>
        <w:jc w:val="both"/>
        <w:textAlignment w:val="auto"/>
        <w:rPr>
          <w:rFonts w:cs="Times"/>
          <w:b/>
          <w:bCs/>
        </w:rPr>
      </w:pPr>
      <w:r w:rsidRPr="00793E7B">
        <w:rPr>
          <w:rFonts w:cs="Times"/>
          <w:b/>
          <w:bCs/>
        </w:rPr>
        <w:t>i.e., the ratio of NPDSCH EPRE to NRS EPRE is 0dB for one NRS antenna port, and -3dB for two NRS antenna ports</w:t>
      </w:r>
    </w:p>
    <w:p w14:paraId="67919040" w14:textId="3819E1C6" w:rsidR="00C733BB" w:rsidRDefault="00C733BB" w:rsidP="00C733BB">
      <w:pPr>
        <w:pStyle w:val="ListParagraph"/>
        <w:numPr>
          <w:ilvl w:val="0"/>
          <w:numId w:val="14"/>
        </w:numPr>
        <w:overflowPunct/>
        <w:autoSpaceDE/>
        <w:autoSpaceDN/>
        <w:adjustRightInd/>
        <w:spacing w:after="0"/>
        <w:ind w:left="1080"/>
        <w:contextualSpacing w:val="0"/>
        <w:jc w:val="both"/>
        <w:textAlignment w:val="auto"/>
        <w:rPr>
          <w:rFonts w:cs="Times"/>
          <w:b/>
          <w:bCs/>
        </w:rPr>
      </w:pPr>
      <w:r w:rsidRPr="00793E7B">
        <w:rPr>
          <w:rFonts w:cs="Times"/>
          <w:b/>
          <w:bCs/>
        </w:rPr>
        <w:t>UE specific signalling is used</w:t>
      </w:r>
    </w:p>
    <w:p w14:paraId="53F74C5C" w14:textId="77777777" w:rsidR="00C733BB" w:rsidRDefault="00C733BB" w:rsidP="00C733BB">
      <w:pPr>
        <w:pStyle w:val="ListParagraph"/>
        <w:overflowPunct/>
        <w:autoSpaceDE/>
        <w:autoSpaceDN/>
        <w:adjustRightInd/>
        <w:spacing w:after="0"/>
        <w:ind w:left="1080"/>
        <w:contextualSpacing w:val="0"/>
        <w:jc w:val="both"/>
        <w:textAlignment w:val="auto"/>
        <w:rPr>
          <w:rFonts w:cs="Times"/>
          <w:b/>
          <w:bCs/>
        </w:rPr>
      </w:pPr>
    </w:p>
    <w:p w14:paraId="6A675622" w14:textId="77777777" w:rsidR="00C733BB" w:rsidRPr="00793E7B" w:rsidRDefault="00C733BB" w:rsidP="00C733BB">
      <w:pPr>
        <w:pStyle w:val="ListParagraph"/>
        <w:overflowPunct/>
        <w:autoSpaceDE/>
        <w:autoSpaceDN/>
        <w:adjustRightInd/>
        <w:spacing w:after="0"/>
        <w:ind w:left="1080"/>
        <w:contextualSpacing w:val="0"/>
        <w:jc w:val="both"/>
        <w:textAlignment w:val="auto"/>
        <w:rPr>
          <w:rFonts w:cs="Times"/>
          <w:b/>
          <w:bCs/>
        </w:rPr>
      </w:pPr>
    </w:p>
    <w:p w14:paraId="5B82E14F" w14:textId="77777777" w:rsidR="00C733BB" w:rsidRPr="00752E7F" w:rsidRDefault="00C733BB" w:rsidP="00C733BB">
      <w:pPr>
        <w:shd w:val="clear" w:color="auto" w:fill="FFFFFF"/>
        <w:rPr>
          <w:b/>
          <w:bCs/>
          <w:lang w:eastAsia="zh-CN"/>
        </w:rPr>
      </w:pPr>
      <w:r w:rsidRPr="00752E7F">
        <w:rPr>
          <w:b/>
          <w:bCs/>
          <w:u w:val="single"/>
          <w:lang w:eastAsia="x-none"/>
        </w:rPr>
        <w:t>Proposal</w:t>
      </w:r>
      <w:r>
        <w:rPr>
          <w:b/>
          <w:bCs/>
          <w:u w:val="single"/>
          <w:lang w:eastAsia="x-none"/>
        </w:rPr>
        <w:t xml:space="preserve"> 3:</w:t>
      </w:r>
      <w:r w:rsidRPr="0007131F">
        <w:rPr>
          <w:b/>
          <w:bCs/>
          <w:lang w:eastAsia="x-none"/>
        </w:rPr>
        <w:t xml:space="preserve"> </w:t>
      </w:r>
      <w:r w:rsidRPr="00752E7F">
        <w:rPr>
          <w:b/>
          <w:bCs/>
          <w:lang w:eastAsia="zh-CN"/>
        </w:rPr>
        <w:t>For downlink power allocation to support 16QAM in in-band deployments, the following option is selected:</w:t>
      </w:r>
    </w:p>
    <w:p w14:paraId="470A8045" w14:textId="77777777" w:rsidR="00C733BB" w:rsidRPr="00752E7F" w:rsidRDefault="00C733BB" w:rsidP="00C733BB">
      <w:pPr>
        <w:numPr>
          <w:ilvl w:val="1"/>
          <w:numId w:val="18"/>
        </w:numPr>
        <w:spacing w:after="0"/>
        <w:rPr>
          <w:rFonts w:cs="Times"/>
          <w:b/>
          <w:bCs/>
          <w:lang w:eastAsia="zh-CN"/>
        </w:rPr>
      </w:pPr>
      <w:r w:rsidRPr="00752E7F">
        <w:rPr>
          <w:rFonts w:cs="Times"/>
          <w:b/>
          <w:bCs/>
          <w:lang w:eastAsia="zh-CN"/>
        </w:rPr>
        <w:t xml:space="preserve">Alt 2: </w:t>
      </w:r>
    </w:p>
    <w:p w14:paraId="78E7B878" w14:textId="77777777" w:rsidR="00C733BB" w:rsidRDefault="00C733BB" w:rsidP="00C733BB">
      <w:pPr>
        <w:numPr>
          <w:ilvl w:val="2"/>
          <w:numId w:val="18"/>
        </w:numPr>
        <w:spacing w:after="0"/>
        <w:rPr>
          <w:b/>
          <w:bCs/>
          <w:lang w:eastAsia="zh-CN"/>
        </w:rPr>
      </w:pPr>
      <w:r w:rsidRPr="00752E7F">
        <w:rPr>
          <w:b/>
          <w:bCs/>
          <w:lang w:eastAsia="zh-CN"/>
        </w:rPr>
        <w:t xml:space="preserve">the power ratio between NPDSCH EPRE and NRS EPRE in symbols with CRS is </w:t>
      </w:r>
      <w:proofErr w:type="spellStart"/>
      <w:r w:rsidRPr="00752E7F">
        <w:rPr>
          <w:b/>
          <w:bCs/>
          <w:lang w:eastAsia="zh-CN"/>
        </w:rPr>
        <w:t>signaled</w:t>
      </w:r>
      <w:proofErr w:type="spellEnd"/>
      <w:r>
        <w:rPr>
          <w:b/>
          <w:bCs/>
          <w:lang w:eastAsia="zh-CN"/>
        </w:rPr>
        <w:t>.</w:t>
      </w:r>
    </w:p>
    <w:p w14:paraId="6C9CD8E4" w14:textId="77777777" w:rsidR="00C733BB" w:rsidRDefault="00C733BB" w:rsidP="00C733BB">
      <w:pPr>
        <w:spacing w:after="0"/>
        <w:ind w:left="2160"/>
        <w:rPr>
          <w:b/>
          <w:bCs/>
          <w:lang w:eastAsia="zh-CN"/>
        </w:rPr>
      </w:pPr>
    </w:p>
    <w:p w14:paraId="314FAAB7" w14:textId="77777777" w:rsidR="000115DA" w:rsidRPr="00752E7F" w:rsidRDefault="000115DA" w:rsidP="000115DA">
      <w:pPr>
        <w:spacing w:after="0"/>
        <w:rPr>
          <w:b/>
          <w:bCs/>
          <w:lang w:eastAsia="zh-CN"/>
        </w:rPr>
      </w:pPr>
      <w:r w:rsidRPr="00752E7F">
        <w:rPr>
          <w:b/>
          <w:bCs/>
          <w:u w:val="single"/>
          <w:lang w:eastAsia="zh-CN"/>
        </w:rPr>
        <w:t>Proposal</w:t>
      </w:r>
      <w:r>
        <w:rPr>
          <w:b/>
          <w:bCs/>
          <w:u w:val="single"/>
          <w:lang w:eastAsia="zh-CN"/>
        </w:rPr>
        <w:t xml:space="preserve"> 4</w:t>
      </w:r>
      <w:r w:rsidRPr="00752E7F">
        <w:rPr>
          <w:b/>
          <w:bCs/>
          <w:u w:val="single"/>
          <w:lang w:eastAsia="zh-CN"/>
        </w:rPr>
        <w:t>:</w:t>
      </w:r>
      <w:r w:rsidRPr="0007131F">
        <w:rPr>
          <w:b/>
          <w:bCs/>
          <w:lang w:eastAsia="zh-CN"/>
        </w:rPr>
        <w:t xml:space="preserve"> </w:t>
      </w:r>
      <w:r>
        <w:rPr>
          <w:b/>
          <w:bCs/>
          <w:lang w:eastAsia="zh-CN"/>
        </w:rPr>
        <w:t>For in-band deployments, the power ratio between NPDSCH EPRE and NRS EPRE in symbols with NRS is calculated assuming constant power across symbols with NRS and symbols without NRS or CRS.</w:t>
      </w:r>
    </w:p>
    <w:p w14:paraId="1214FE83" w14:textId="6DCE72F8" w:rsidR="0081070E" w:rsidRDefault="0081070E" w:rsidP="006C1D96">
      <w:pPr>
        <w:rPr>
          <w:b/>
          <w:bCs/>
        </w:rPr>
      </w:pPr>
    </w:p>
    <w:p w14:paraId="1D05C269" w14:textId="77777777" w:rsidR="00C733BB" w:rsidRPr="004F68B1" w:rsidRDefault="00C733BB" w:rsidP="00C733BB">
      <w:pPr>
        <w:rPr>
          <w:b/>
          <w:bCs/>
          <w:lang w:val="en-US"/>
        </w:rPr>
      </w:pPr>
      <w:r w:rsidRPr="004F68B1">
        <w:rPr>
          <w:b/>
          <w:bCs/>
          <w:u w:val="single"/>
          <w:lang w:val="en-US"/>
        </w:rPr>
        <w:t xml:space="preserve">Proposal </w:t>
      </w:r>
      <w:r>
        <w:rPr>
          <w:b/>
          <w:bCs/>
          <w:u w:val="single"/>
          <w:lang w:val="en-US"/>
        </w:rPr>
        <w:t>5</w:t>
      </w:r>
      <w:r w:rsidRPr="004F68B1">
        <w:rPr>
          <w:b/>
          <w:bCs/>
          <w:u w:val="single"/>
          <w:lang w:val="en-US"/>
        </w:rPr>
        <w:t>:</w:t>
      </w:r>
      <w:r w:rsidRPr="004F68B1">
        <w:rPr>
          <w:b/>
          <w:bCs/>
          <w:lang w:val="en-US"/>
        </w:rPr>
        <w:t xml:space="preserve"> The signaling related to downlink power allocation to support 16-QAM is UE-specific.</w:t>
      </w:r>
    </w:p>
    <w:p w14:paraId="241D8F0E" w14:textId="4BA0A2BF" w:rsidR="00C733BB" w:rsidRDefault="00C733BB" w:rsidP="006C1D96">
      <w:pPr>
        <w:rPr>
          <w:b/>
          <w:bCs/>
          <w:lang w:val="en-US"/>
        </w:rPr>
      </w:pPr>
    </w:p>
    <w:p w14:paraId="781D8682" w14:textId="77777777" w:rsidR="00C733BB" w:rsidRDefault="00C733BB" w:rsidP="00C733BB">
      <w:pPr>
        <w:rPr>
          <w:b/>
          <w:bCs/>
          <w:lang w:val="en-US"/>
        </w:rPr>
      </w:pPr>
      <w:r w:rsidRPr="004F68B1">
        <w:rPr>
          <w:b/>
          <w:bCs/>
          <w:u w:val="single"/>
          <w:lang w:val="en-US"/>
        </w:rPr>
        <w:t xml:space="preserve">Proposal </w:t>
      </w:r>
      <w:r>
        <w:rPr>
          <w:b/>
          <w:bCs/>
          <w:u w:val="single"/>
          <w:lang w:val="en-US"/>
        </w:rPr>
        <w:t>6</w:t>
      </w:r>
      <w:r w:rsidRPr="004F68B1">
        <w:rPr>
          <w:b/>
          <w:bCs/>
          <w:u w:val="single"/>
          <w:lang w:val="en-US"/>
        </w:rPr>
        <w:t>:</w:t>
      </w:r>
      <w:r w:rsidRPr="004F68B1">
        <w:rPr>
          <w:b/>
          <w:bCs/>
          <w:lang w:val="en-US"/>
        </w:rPr>
        <w:t xml:space="preserve"> </w:t>
      </w:r>
      <w:r>
        <w:rPr>
          <w:b/>
          <w:bCs/>
          <w:lang w:val="en-US"/>
        </w:rPr>
        <w:t xml:space="preserve">Confirm the following working assumption: </w:t>
      </w:r>
    </w:p>
    <w:p w14:paraId="1FBE0EC2" w14:textId="77777777" w:rsidR="00C733BB" w:rsidRDefault="00C733BB" w:rsidP="00C733BB">
      <w:pPr>
        <w:pStyle w:val="ListParagraph"/>
        <w:numPr>
          <w:ilvl w:val="0"/>
          <w:numId w:val="20"/>
        </w:numPr>
        <w:rPr>
          <w:b/>
          <w:bCs/>
          <w:lang w:val="en-US"/>
        </w:rPr>
      </w:pPr>
      <w:r w:rsidRPr="00F53713">
        <w:rPr>
          <w:b/>
          <w:bCs/>
          <w:lang w:val="en-US"/>
        </w:rPr>
        <w:t>Support 16-QAM for NPUSCH in PUR procedure.</w:t>
      </w:r>
    </w:p>
    <w:p w14:paraId="5948E0BF" w14:textId="77777777" w:rsidR="00C733BB" w:rsidRDefault="00C733BB" w:rsidP="00C733BB">
      <w:pPr>
        <w:pStyle w:val="ListParagraph"/>
        <w:rPr>
          <w:b/>
          <w:bCs/>
          <w:lang w:val="en-US"/>
        </w:rPr>
      </w:pPr>
    </w:p>
    <w:p w14:paraId="5BE2E909" w14:textId="77777777" w:rsidR="00C733BB" w:rsidRPr="00F53713" w:rsidRDefault="00C733BB" w:rsidP="00C733BB">
      <w:pPr>
        <w:rPr>
          <w:b/>
          <w:bCs/>
          <w:lang w:val="en-US"/>
        </w:rPr>
      </w:pPr>
      <w:r w:rsidRPr="00F53713">
        <w:rPr>
          <w:b/>
          <w:bCs/>
          <w:u w:val="single"/>
          <w:lang w:val="en-US"/>
        </w:rPr>
        <w:t xml:space="preserve">Proposal </w:t>
      </w:r>
      <w:r>
        <w:rPr>
          <w:b/>
          <w:bCs/>
          <w:u w:val="single"/>
          <w:lang w:val="en-US"/>
        </w:rPr>
        <w:t>7</w:t>
      </w:r>
      <w:r w:rsidRPr="00F53713">
        <w:rPr>
          <w:b/>
          <w:bCs/>
          <w:u w:val="single"/>
          <w:lang w:val="en-US"/>
        </w:rPr>
        <w:t>:</w:t>
      </w:r>
      <w:r>
        <w:rPr>
          <w:b/>
          <w:bCs/>
          <w:lang w:val="en-US"/>
        </w:rPr>
        <w:t xml:space="preserve"> </w:t>
      </w:r>
      <w:r w:rsidRPr="00F53713">
        <w:rPr>
          <w:b/>
          <w:bCs/>
          <w:lang w:val="en-US"/>
        </w:rPr>
        <w:t xml:space="preserve">Include a configuration flag in </w:t>
      </w:r>
      <w:r w:rsidRPr="00F53713">
        <w:rPr>
          <w:b/>
          <w:bCs/>
          <w:i/>
          <w:iCs/>
          <w:lang w:val="en-US"/>
        </w:rPr>
        <w:t>PUR-Config</w:t>
      </w:r>
      <w:r>
        <w:rPr>
          <w:b/>
          <w:bCs/>
          <w:lang w:val="en-US"/>
        </w:rPr>
        <w:t xml:space="preserve"> to enable 16-QAM.</w:t>
      </w:r>
    </w:p>
    <w:p w14:paraId="6E0B0709" w14:textId="77777777" w:rsidR="00C733BB" w:rsidRDefault="00C733BB" w:rsidP="00C733BB">
      <w:pPr>
        <w:rPr>
          <w:b/>
          <w:bCs/>
          <w:u w:val="single"/>
          <w:lang w:val="en-US"/>
        </w:rPr>
      </w:pPr>
    </w:p>
    <w:p w14:paraId="29806BF1" w14:textId="240EFCF5" w:rsidR="00C733BB" w:rsidRDefault="00C733BB" w:rsidP="00C733BB">
      <w:pPr>
        <w:rPr>
          <w:b/>
          <w:bCs/>
          <w:lang w:val="en-US"/>
        </w:rPr>
      </w:pPr>
      <w:r w:rsidRPr="00C733BB">
        <w:rPr>
          <w:b/>
          <w:bCs/>
          <w:u w:val="single"/>
          <w:lang w:val="en-US"/>
        </w:rPr>
        <w:t xml:space="preserve">Proposal </w:t>
      </w:r>
      <w:r>
        <w:rPr>
          <w:b/>
          <w:bCs/>
          <w:u w:val="single"/>
          <w:lang w:val="en-US"/>
        </w:rPr>
        <w:t>8</w:t>
      </w:r>
      <w:r w:rsidRPr="00C733BB">
        <w:rPr>
          <w:b/>
          <w:bCs/>
          <w:u w:val="single"/>
          <w:lang w:val="en-US"/>
        </w:rPr>
        <w:t>:</w:t>
      </w:r>
      <w:r>
        <w:rPr>
          <w:b/>
          <w:bCs/>
          <w:lang w:val="en-US"/>
        </w:rPr>
        <w:t xml:space="preserve"> For uplink power control, introduce the following specification changes:</w:t>
      </w:r>
    </w:p>
    <w:p w14:paraId="3EB9B951" w14:textId="77777777" w:rsidR="00C733BB" w:rsidRPr="00C733BB" w:rsidRDefault="00C733BB" w:rsidP="00C733BB">
      <w:pPr>
        <w:pStyle w:val="ListParagraph"/>
        <w:numPr>
          <w:ilvl w:val="0"/>
          <w:numId w:val="20"/>
        </w:numPr>
        <w:rPr>
          <w:b/>
          <w:bCs/>
          <w:lang w:val="en-US"/>
        </w:rPr>
      </w:pPr>
      <w:r w:rsidRPr="00C733BB">
        <w:rPr>
          <w:b/>
          <w:bCs/>
          <w:lang w:val="en-US"/>
        </w:rPr>
        <w:t xml:space="preserve">Add a correction term </w:t>
      </w:r>
      <m:oMath>
        <m:sSub>
          <m:sSubPr>
            <m:ctrlPr>
              <w:rPr>
                <w:rFonts w:ascii="Cambria Math" w:hAnsi="Cambria Math"/>
                <w:b/>
                <w:bCs/>
                <w:i/>
                <w:lang w:val="en-US"/>
              </w:rPr>
            </m:ctrlPr>
          </m:sSubPr>
          <m:e>
            <m:r>
              <m:rPr>
                <m:sty m:val="b"/>
              </m:rPr>
              <w:rPr>
                <w:rFonts w:ascii="Cambria Math" w:hAnsi="Cambria Math"/>
                <w:lang w:val="en-US"/>
              </w:rPr>
              <m:t>Δ</m:t>
            </m:r>
            <m:ctrlPr>
              <w:rPr>
                <w:rFonts w:ascii="Cambria Math" w:hAnsi="Cambria Math"/>
                <w:b/>
                <w:bCs/>
                <w:lang w:val="en-US"/>
              </w:rPr>
            </m:ctrlPr>
          </m:e>
          <m:sub>
            <m:r>
              <m:rPr>
                <m:sty m:val="bi"/>
              </m:rPr>
              <w:rPr>
                <w:rFonts w:ascii="Cambria Math" w:hAnsi="Cambria Math"/>
                <w:lang w:val="en-US"/>
              </w:rPr>
              <m:t>TF</m:t>
            </m:r>
          </m:sub>
        </m:sSub>
      </m:oMath>
      <w:r w:rsidRPr="00C733BB">
        <w:rPr>
          <w:b/>
          <w:bCs/>
          <w:lang w:val="en-US"/>
        </w:rPr>
        <w:t xml:space="preserve"> in the power control equation.</w:t>
      </w:r>
    </w:p>
    <w:p w14:paraId="76073E2D" w14:textId="77777777" w:rsidR="00C733BB" w:rsidRPr="00C733BB" w:rsidRDefault="00C733BB" w:rsidP="00C733BB">
      <w:pPr>
        <w:pStyle w:val="ListParagraph"/>
        <w:numPr>
          <w:ilvl w:val="0"/>
          <w:numId w:val="20"/>
        </w:numPr>
        <w:rPr>
          <w:b/>
          <w:bCs/>
          <w:lang w:val="en-US"/>
        </w:rPr>
      </w:pPr>
      <w:r w:rsidRPr="00C733BB">
        <w:rPr>
          <w:b/>
          <w:bCs/>
          <w:lang w:val="en-US"/>
        </w:rPr>
        <w:t xml:space="preserve">Add a configuration parameter </w:t>
      </w:r>
      <w:proofErr w:type="spellStart"/>
      <w:r w:rsidRPr="00C733BB">
        <w:rPr>
          <w:b/>
          <w:bCs/>
          <w:i/>
          <w:iCs/>
          <w:lang w:val="en-US"/>
        </w:rPr>
        <w:t>deltaMCS</w:t>
      </w:r>
      <w:proofErr w:type="spellEnd"/>
      <w:r w:rsidRPr="00C733BB">
        <w:rPr>
          <w:b/>
          <w:bCs/>
          <w:i/>
          <w:iCs/>
          <w:lang w:val="en-US"/>
        </w:rPr>
        <w:t>-Enabled</w:t>
      </w:r>
    </w:p>
    <w:p w14:paraId="0EE937D1" w14:textId="77777777" w:rsidR="00C733BB" w:rsidRPr="00C733BB" w:rsidRDefault="00C733BB" w:rsidP="00C733BB">
      <w:pPr>
        <w:pStyle w:val="ListParagraph"/>
        <w:numPr>
          <w:ilvl w:val="0"/>
          <w:numId w:val="20"/>
        </w:numPr>
        <w:rPr>
          <w:b/>
          <w:bCs/>
          <w:lang w:val="en-US"/>
        </w:rPr>
      </w:pPr>
      <w:r w:rsidRPr="00C733BB">
        <w:rPr>
          <w:b/>
          <w:bCs/>
          <w:lang w:val="en-US"/>
        </w:rPr>
        <w:t>Add the definition of BPRE as in LTE.</w:t>
      </w:r>
    </w:p>
    <w:p w14:paraId="6C905519" w14:textId="77777777" w:rsidR="00C733BB" w:rsidRDefault="00C733BB" w:rsidP="006C1D96">
      <w:pPr>
        <w:rPr>
          <w:b/>
          <w:bCs/>
          <w:lang w:val="en-US"/>
        </w:rPr>
      </w:pPr>
    </w:p>
    <w:p w14:paraId="78A8FCC7" w14:textId="77777777" w:rsidR="00C733BB" w:rsidRPr="00C733BB" w:rsidRDefault="00C733BB" w:rsidP="006C1D96">
      <w:pPr>
        <w:rPr>
          <w:b/>
          <w:bCs/>
          <w:lang w:val="en-US"/>
        </w:rPr>
      </w:pPr>
    </w:p>
    <w:p w14:paraId="109C1472" w14:textId="77777777" w:rsidR="00874392" w:rsidRPr="004F68B1" w:rsidRDefault="00874392" w:rsidP="00874392">
      <w:pPr>
        <w:pStyle w:val="Heading1"/>
        <w:jc w:val="both"/>
        <w:rPr>
          <w:lang w:val="en-US"/>
        </w:rPr>
      </w:pPr>
      <w:r w:rsidRPr="004F68B1">
        <w:rPr>
          <w:lang w:val="en-US"/>
        </w:rPr>
        <w:t>References</w:t>
      </w:r>
    </w:p>
    <w:p w14:paraId="44997BAF" w14:textId="77777777" w:rsidR="00874392" w:rsidRPr="004F68B1" w:rsidRDefault="00874392" w:rsidP="00874392">
      <w:pPr>
        <w:rPr>
          <w:lang w:val="en-US"/>
        </w:rPr>
      </w:pPr>
      <w:r w:rsidRPr="004F68B1">
        <w:rPr>
          <w:lang w:val="en-US"/>
        </w:rPr>
        <w:t>[1] RP-201306, WID revision: Additional enhancements for NB-IoT and LTE-MTC</w:t>
      </w:r>
    </w:p>
    <w:p w14:paraId="71D258E5" w14:textId="77777777" w:rsidR="001D4791" w:rsidRPr="004F68B1" w:rsidRDefault="001D4791" w:rsidP="001B159B">
      <w:pPr>
        <w:rPr>
          <w:lang w:val="en-US"/>
        </w:rPr>
      </w:pPr>
    </w:p>
    <w:sectPr w:rsidR="001D4791" w:rsidRPr="004F68B1" w:rsidSect="00717CC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2FEDA" w14:textId="77777777" w:rsidR="00B52D87" w:rsidRDefault="00B52D87">
      <w:pPr>
        <w:spacing w:after="0"/>
      </w:pPr>
      <w:r>
        <w:separator/>
      </w:r>
    </w:p>
  </w:endnote>
  <w:endnote w:type="continuationSeparator" w:id="0">
    <w:p w14:paraId="52CB2A50" w14:textId="77777777" w:rsidR="00B52D87" w:rsidRDefault="00B52D87">
      <w:pPr>
        <w:spacing w:after="0"/>
      </w:pPr>
      <w:r>
        <w:continuationSeparator/>
      </w:r>
    </w:p>
  </w:endnote>
  <w:endnote w:type="continuationNotice" w:id="1">
    <w:p w14:paraId="79485E89" w14:textId="77777777" w:rsidR="00B52D87" w:rsidRDefault="00B52D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96D0B" w:rsidRDefault="00796D0B"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96D0B" w:rsidRDefault="00796D0B"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96D0B" w:rsidRDefault="00796D0B"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96D0B" w:rsidRDefault="00796D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BD149" w14:textId="77777777" w:rsidR="00B52D87" w:rsidRDefault="00B52D87">
      <w:pPr>
        <w:spacing w:after="0"/>
      </w:pPr>
      <w:r>
        <w:separator/>
      </w:r>
    </w:p>
  </w:footnote>
  <w:footnote w:type="continuationSeparator" w:id="0">
    <w:p w14:paraId="56A463DC" w14:textId="77777777" w:rsidR="00B52D87" w:rsidRDefault="00B52D87">
      <w:pPr>
        <w:spacing w:after="0"/>
      </w:pPr>
      <w:r>
        <w:continuationSeparator/>
      </w:r>
    </w:p>
  </w:footnote>
  <w:footnote w:type="continuationNotice" w:id="1">
    <w:p w14:paraId="0814DCFE" w14:textId="77777777" w:rsidR="00B52D87" w:rsidRDefault="00B52D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96D0B" w:rsidRDefault="00796D0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96D0B" w:rsidRDefault="00796D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96D0B" w:rsidRDefault="00796D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7440D"/>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C0253CE"/>
    <w:multiLevelType w:val="hybridMultilevel"/>
    <w:tmpl w:val="A38237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473309"/>
    <w:multiLevelType w:val="hybridMultilevel"/>
    <w:tmpl w:val="381AB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C2085A"/>
    <w:multiLevelType w:val="hybridMultilevel"/>
    <w:tmpl w:val="0A5CD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16037B"/>
    <w:multiLevelType w:val="hybridMultilevel"/>
    <w:tmpl w:val="84262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98402E2"/>
    <w:multiLevelType w:val="hybridMultilevel"/>
    <w:tmpl w:val="A98C1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28548E"/>
    <w:multiLevelType w:val="hybridMultilevel"/>
    <w:tmpl w:val="7DDE4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808D9"/>
    <w:multiLevelType w:val="hybridMultilevel"/>
    <w:tmpl w:val="52BC5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5BFE5696"/>
    <w:multiLevelType w:val="hybridMultilevel"/>
    <w:tmpl w:val="FF8EB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C2635A8"/>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50B6CDD"/>
    <w:multiLevelType w:val="hybridMultilevel"/>
    <w:tmpl w:val="72827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19"/>
  </w:num>
  <w:num w:numId="3">
    <w:abstractNumId w:val="5"/>
  </w:num>
  <w:num w:numId="4">
    <w:abstractNumId w:val="11"/>
  </w:num>
  <w:num w:numId="5">
    <w:abstractNumId w:val="3"/>
  </w:num>
  <w:num w:numId="6">
    <w:abstractNumId w:val="17"/>
  </w:num>
  <w:num w:numId="7">
    <w:abstractNumId w:val="6"/>
  </w:num>
  <w:num w:numId="8">
    <w:abstractNumId w:val="15"/>
  </w:num>
  <w:num w:numId="9">
    <w:abstractNumId w:val="7"/>
  </w:num>
  <w:num w:numId="10">
    <w:abstractNumId w:val="8"/>
  </w:num>
  <w:num w:numId="11">
    <w:abstractNumId w:val="13"/>
  </w:num>
  <w:num w:numId="12">
    <w:abstractNumId w:val="0"/>
  </w:num>
  <w:num w:numId="13">
    <w:abstractNumId w:val="16"/>
  </w:num>
  <w:num w:numId="14">
    <w:abstractNumId w:val="18"/>
  </w:num>
  <w:num w:numId="15">
    <w:abstractNumId w:val="10"/>
  </w:num>
  <w:num w:numId="16">
    <w:abstractNumId w:val="4"/>
  </w:num>
  <w:num w:numId="17">
    <w:abstractNumId w:val="9"/>
  </w:num>
  <w:num w:numId="18">
    <w:abstractNumId w:val="2"/>
  </w:num>
  <w:num w:numId="19">
    <w:abstractNumId w:val="14"/>
  </w:num>
  <w:num w:numId="2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79D0"/>
    <w:rsid w:val="000115DA"/>
    <w:rsid w:val="000164C3"/>
    <w:rsid w:val="0002016E"/>
    <w:rsid w:val="00022216"/>
    <w:rsid w:val="000236C6"/>
    <w:rsid w:val="000301DA"/>
    <w:rsid w:val="00037582"/>
    <w:rsid w:val="00042869"/>
    <w:rsid w:val="00054E5C"/>
    <w:rsid w:val="00063DAE"/>
    <w:rsid w:val="0007131F"/>
    <w:rsid w:val="0007550D"/>
    <w:rsid w:val="00081CDD"/>
    <w:rsid w:val="00090120"/>
    <w:rsid w:val="000911B4"/>
    <w:rsid w:val="00097E6B"/>
    <w:rsid w:val="000B1990"/>
    <w:rsid w:val="000E330D"/>
    <w:rsid w:val="0010253A"/>
    <w:rsid w:val="00122D19"/>
    <w:rsid w:val="00124E5D"/>
    <w:rsid w:val="00125DAC"/>
    <w:rsid w:val="0013602A"/>
    <w:rsid w:val="00146E52"/>
    <w:rsid w:val="00154C05"/>
    <w:rsid w:val="0015790E"/>
    <w:rsid w:val="00190E24"/>
    <w:rsid w:val="001A452F"/>
    <w:rsid w:val="001A5BF3"/>
    <w:rsid w:val="001B159B"/>
    <w:rsid w:val="001B1EC7"/>
    <w:rsid w:val="001C099B"/>
    <w:rsid w:val="001C6F21"/>
    <w:rsid w:val="001D4791"/>
    <w:rsid w:val="001E1134"/>
    <w:rsid w:val="002068F0"/>
    <w:rsid w:val="002131AD"/>
    <w:rsid w:val="00213302"/>
    <w:rsid w:val="00234BC8"/>
    <w:rsid w:val="00255F0A"/>
    <w:rsid w:val="00260902"/>
    <w:rsid w:val="0026682F"/>
    <w:rsid w:val="00267D11"/>
    <w:rsid w:val="002742EE"/>
    <w:rsid w:val="00287B8D"/>
    <w:rsid w:val="00291786"/>
    <w:rsid w:val="00291CD1"/>
    <w:rsid w:val="0029388D"/>
    <w:rsid w:val="002E3884"/>
    <w:rsid w:val="002E5311"/>
    <w:rsid w:val="00340D26"/>
    <w:rsid w:val="0035424A"/>
    <w:rsid w:val="00362F3B"/>
    <w:rsid w:val="00367B30"/>
    <w:rsid w:val="00381625"/>
    <w:rsid w:val="00386F50"/>
    <w:rsid w:val="003C0B13"/>
    <w:rsid w:val="003C5BD8"/>
    <w:rsid w:val="003E4EB7"/>
    <w:rsid w:val="003E7D49"/>
    <w:rsid w:val="00400A2E"/>
    <w:rsid w:val="00410ECF"/>
    <w:rsid w:val="0041454F"/>
    <w:rsid w:val="0041506D"/>
    <w:rsid w:val="00427E2F"/>
    <w:rsid w:val="00431380"/>
    <w:rsid w:val="00435BFA"/>
    <w:rsid w:val="004456A9"/>
    <w:rsid w:val="00476C2A"/>
    <w:rsid w:val="0049613A"/>
    <w:rsid w:val="004974EB"/>
    <w:rsid w:val="004C6148"/>
    <w:rsid w:val="004D634E"/>
    <w:rsid w:val="004F68B1"/>
    <w:rsid w:val="00507DEB"/>
    <w:rsid w:val="0051448E"/>
    <w:rsid w:val="00520E7B"/>
    <w:rsid w:val="00520F4B"/>
    <w:rsid w:val="00524FF3"/>
    <w:rsid w:val="00527F03"/>
    <w:rsid w:val="00527F8A"/>
    <w:rsid w:val="005328B5"/>
    <w:rsid w:val="0055738F"/>
    <w:rsid w:val="0057069E"/>
    <w:rsid w:val="005716E0"/>
    <w:rsid w:val="00580ABD"/>
    <w:rsid w:val="00582CAB"/>
    <w:rsid w:val="00586156"/>
    <w:rsid w:val="005A74CD"/>
    <w:rsid w:val="005D201C"/>
    <w:rsid w:val="005F6860"/>
    <w:rsid w:val="00600B37"/>
    <w:rsid w:val="00601F79"/>
    <w:rsid w:val="00606AEB"/>
    <w:rsid w:val="006169B9"/>
    <w:rsid w:val="00620296"/>
    <w:rsid w:val="00623263"/>
    <w:rsid w:val="00632162"/>
    <w:rsid w:val="00634688"/>
    <w:rsid w:val="00674A20"/>
    <w:rsid w:val="006A75A0"/>
    <w:rsid w:val="006A7BCE"/>
    <w:rsid w:val="006B3A59"/>
    <w:rsid w:val="006C1D96"/>
    <w:rsid w:val="006F74CC"/>
    <w:rsid w:val="007130B5"/>
    <w:rsid w:val="00717CCC"/>
    <w:rsid w:val="00722924"/>
    <w:rsid w:val="007366C0"/>
    <w:rsid w:val="00737E91"/>
    <w:rsid w:val="007423BC"/>
    <w:rsid w:val="00752E7F"/>
    <w:rsid w:val="0075364E"/>
    <w:rsid w:val="0076617C"/>
    <w:rsid w:val="00793E7B"/>
    <w:rsid w:val="00794448"/>
    <w:rsid w:val="00796D0B"/>
    <w:rsid w:val="007A7F82"/>
    <w:rsid w:val="007B146F"/>
    <w:rsid w:val="007C0939"/>
    <w:rsid w:val="007C370A"/>
    <w:rsid w:val="007E707C"/>
    <w:rsid w:val="007E7769"/>
    <w:rsid w:val="007F0EAB"/>
    <w:rsid w:val="007F4E48"/>
    <w:rsid w:val="00807817"/>
    <w:rsid w:val="00810100"/>
    <w:rsid w:val="0081070E"/>
    <w:rsid w:val="00812916"/>
    <w:rsid w:val="00820856"/>
    <w:rsid w:val="008208F6"/>
    <w:rsid w:val="008260B0"/>
    <w:rsid w:val="00835C35"/>
    <w:rsid w:val="00850D53"/>
    <w:rsid w:val="00874392"/>
    <w:rsid w:val="008774BE"/>
    <w:rsid w:val="0088056A"/>
    <w:rsid w:val="0088116B"/>
    <w:rsid w:val="00893F41"/>
    <w:rsid w:val="008A43E0"/>
    <w:rsid w:val="008B7F3F"/>
    <w:rsid w:val="008C6866"/>
    <w:rsid w:val="008D60F7"/>
    <w:rsid w:val="008E6708"/>
    <w:rsid w:val="008F345D"/>
    <w:rsid w:val="008F376B"/>
    <w:rsid w:val="00901E73"/>
    <w:rsid w:val="00904028"/>
    <w:rsid w:val="00932876"/>
    <w:rsid w:val="00935E08"/>
    <w:rsid w:val="00972BE8"/>
    <w:rsid w:val="00983EFA"/>
    <w:rsid w:val="009A63A0"/>
    <w:rsid w:val="009C4956"/>
    <w:rsid w:val="009C6D85"/>
    <w:rsid w:val="009D4B19"/>
    <w:rsid w:val="009D5294"/>
    <w:rsid w:val="009E2C20"/>
    <w:rsid w:val="009F0072"/>
    <w:rsid w:val="00A06BA2"/>
    <w:rsid w:val="00A238B6"/>
    <w:rsid w:val="00A3065A"/>
    <w:rsid w:val="00A40DBD"/>
    <w:rsid w:val="00A45641"/>
    <w:rsid w:val="00A5043D"/>
    <w:rsid w:val="00A64E9E"/>
    <w:rsid w:val="00AA685A"/>
    <w:rsid w:val="00AB425B"/>
    <w:rsid w:val="00AB6DBE"/>
    <w:rsid w:val="00AC15EF"/>
    <w:rsid w:val="00AC3EFC"/>
    <w:rsid w:val="00AD444A"/>
    <w:rsid w:val="00AE6490"/>
    <w:rsid w:val="00AE7EB7"/>
    <w:rsid w:val="00AF39CF"/>
    <w:rsid w:val="00B17212"/>
    <w:rsid w:val="00B32506"/>
    <w:rsid w:val="00B42AB1"/>
    <w:rsid w:val="00B52D87"/>
    <w:rsid w:val="00B563DD"/>
    <w:rsid w:val="00B64F64"/>
    <w:rsid w:val="00B84F3B"/>
    <w:rsid w:val="00BA11DA"/>
    <w:rsid w:val="00BA2B73"/>
    <w:rsid w:val="00BA7DD1"/>
    <w:rsid w:val="00BD0F8A"/>
    <w:rsid w:val="00BF27FB"/>
    <w:rsid w:val="00C056B0"/>
    <w:rsid w:val="00C23CDB"/>
    <w:rsid w:val="00C25B13"/>
    <w:rsid w:val="00C34C9F"/>
    <w:rsid w:val="00C44677"/>
    <w:rsid w:val="00C51EDA"/>
    <w:rsid w:val="00C733BB"/>
    <w:rsid w:val="00C932B3"/>
    <w:rsid w:val="00C93F67"/>
    <w:rsid w:val="00CB06D4"/>
    <w:rsid w:val="00CB37F3"/>
    <w:rsid w:val="00CD6583"/>
    <w:rsid w:val="00CE638D"/>
    <w:rsid w:val="00CE6983"/>
    <w:rsid w:val="00D05C13"/>
    <w:rsid w:val="00D10724"/>
    <w:rsid w:val="00D13C75"/>
    <w:rsid w:val="00D15E27"/>
    <w:rsid w:val="00D2656E"/>
    <w:rsid w:val="00D31AEF"/>
    <w:rsid w:val="00D42D98"/>
    <w:rsid w:val="00D43F0A"/>
    <w:rsid w:val="00D6066F"/>
    <w:rsid w:val="00D76286"/>
    <w:rsid w:val="00D8305F"/>
    <w:rsid w:val="00DB2790"/>
    <w:rsid w:val="00DC2442"/>
    <w:rsid w:val="00DC6F4D"/>
    <w:rsid w:val="00DF3E88"/>
    <w:rsid w:val="00DF4FF0"/>
    <w:rsid w:val="00E06B08"/>
    <w:rsid w:val="00E357FC"/>
    <w:rsid w:val="00E52C13"/>
    <w:rsid w:val="00E571C2"/>
    <w:rsid w:val="00E605EA"/>
    <w:rsid w:val="00E61735"/>
    <w:rsid w:val="00E64FFE"/>
    <w:rsid w:val="00E716CB"/>
    <w:rsid w:val="00E74BCC"/>
    <w:rsid w:val="00E836D1"/>
    <w:rsid w:val="00E85198"/>
    <w:rsid w:val="00E958B0"/>
    <w:rsid w:val="00EA06DD"/>
    <w:rsid w:val="00EA2860"/>
    <w:rsid w:val="00EC720F"/>
    <w:rsid w:val="00ED563C"/>
    <w:rsid w:val="00ED6A14"/>
    <w:rsid w:val="00EF15B3"/>
    <w:rsid w:val="00EF786E"/>
    <w:rsid w:val="00F00BC4"/>
    <w:rsid w:val="00F012A4"/>
    <w:rsid w:val="00F22702"/>
    <w:rsid w:val="00F34287"/>
    <w:rsid w:val="00F460EB"/>
    <w:rsid w:val="00F46141"/>
    <w:rsid w:val="00F47E3B"/>
    <w:rsid w:val="00F5209A"/>
    <w:rsid w:val="00F53713"/>
    <w:rsid w:val="00F5427F"/>
    <w:rsid w:val="00F5785D"/>
    <w:rsid w:val="00F63972"/>
    <w:rsid w:val="00F67F4B"/>
    <w:rsid w:val="00F753EB"/>
    <w:rsid w:val="00F85BD3"/>
    <w:rsid w:val="00F8682C"/>
    <w:rsid w:val="00F93256"/>
    <w:rsid w:val="00FA00E1"/>
    <w:rsid w:val="00FA2448"/>
    <w:rsid w:val="00FE6123"/>
    <w:rsid w:val="00FF3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392"/>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题 Char"/>
    <w:link w:val="Caption"/>
    <w:uiPriority w:val="99"/>
    <w:qFormat/>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table" w:styleId="ListTable3-Accent1">
    <w:name w:val="List Table 3 Accent 1"/>
    <w:basedOn w:val="TableNormal"/>
    <w:uiPriority w:val="48"/>
    <w:rsid w:val="000301DA"/>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GridTable5Dark-Accent1">
    <w:name w:val="Grid Table 5 Dark Accent 1"/>
    <w:basedOn w:val="TableNormal"/>
    <w:uiPriority w:val="50"/>
    <w:rsid w:val="006A75A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FE6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ListTable4-Accent5">
    <w:name w:val="List Table 4 Accent 5"/>
    <w:basedOn w:val="TableNormal"/>
    <w:uiPriority w:val="49"/>
    <w:rsid w:val="008774B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
    <w:name w:val="Grid Table 5 Dark"/>
    <w:basedOn w:val="TableNormal"/>
    <w:uiPriority w:val="50"/>
    <w:rsid w:val="00E52C1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9D4B19"/>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D4B19"/>
    <w:rPr>
      <w:rFonts w:ascii="Times" w:eastAsia="Batang" w:hAnsi="Times"/>
      <w:szCs w:val="24"/>
      <w:lang w:val="en-GB"/>
    </w:rPr>
  </w:style>
  <w:style w:type="paragraph" w:styleId="NormalWeb">
    <w:name w:val="Normal (Web)"/>
    <w:basedOn w:val="Normal"/>
    <w:uiPriority w:val="99"/>
    <w:qFormat/>
    <w:rsid w:val="00DB2790"/>
    <w:pPr>
      <w:spacing w:before="100" w:beforeAutospacing="1" w:after="100" w:afterAutospacing="1"/>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74426">
      <w:bodyDiv w:val="1"/>
      <w:marLeft w:val="0"/>
      <w:marRight w:val="0"/>
      <w:marTop w:val="0"/>
      <w:marBottom w:val="0"/>
      <w:divBdr>
        <w:top w:val="none" w:sz="0" w:space="0" w:color="auto"/>
        <w:left w:val="none" w:sz="0" w:space="0" w:color="auto"/>
        <w:bottom w:val="none" w:sz="0" w:space="0" w:color="auto"/>
        <w:right w:val="none" w:sz="0" w:space="0" w:color="auto"/>
      </w:divBdr>
    </w:div>
    <w:div w:id="64690074">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7592246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468307">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43496974">
      <w:bodyDiv w:val="1"/>
      <w:marLeft w:val="0"/>
      <w:marRight w:val="0"/>
      <w:marTop w:val="0"/>
      <w:marBottom w:val="0"/>
      <w:divBdr>
        <w:top w:val="none" w:sz="0" w:space="0" w:color="auto"/>
        <w:left w:val="none" w:sz="0" w:space="0" w:color="auto"/>
        <w:bottom w:val="none" w:sz="0" w:space="0" w:color="auto"/>
        <w:right w:val="none" w:sz="0" w:space="0" w:color="auto"/>
      </w:divBdr>
    </w:div>
    <w:div w:id="634410743">
      <w:bodyDiv w:val="1"/>
      <w:marLeft w:val="0"/>
      <w:marRight w:val="0"/>
      <w:marTop w:val="0"/>
      <w:marBottom w:val="0"/>
      <w:divBdr>
        <w:top w:val="none" w:sz="0" w:space="0" w:color="auto"/>
        <w:left w:val="none" w:sz="0" w:space="0" w:color="auto"/>
        <w:bottom w:val="none" w:sz="0" w:space="0" w:color="auto"/>
        <w:right w:val="none" w:sz="0" w:space="0" w:color="auto"/>
      </w:divBdr>
    </w:div>
    <w:div w:id="704141087">
      <w:bodyDiv w:val="1"/>
      <w:marLeft w:val="0"/>
      <w:marRight w:val="0"/>
      <w:marTop w:val="0"/>
      <w:marBottom w:val="0"/>
      <w:divBdr>
        <w:top w:val="none" w:sz="0" w:space="0" w:color="auto"/>
        <w:left w:val="none" w:sz="0" w:space="0" w:color="auto"/>
        <w:bottom w:val="none" w:sz="0" w:space="0" w:color="auto"/>
        <w:right w:val="none" w:sz="0" w:space="0" w:color="auto"/>
      </w:divBdr>
    </w:div>
    <w:div w:id="737938817">
      <w:bodyDiv w:val="1"/>
      <w:marLeft w:val="0"/>
      <w:marRight w:val="0"/>
      <w:marTop w:val="0"/>
      <w:marBottom w:val="0"/>
      <w:divBdr>
        <w:top w:val="none" w:sz="0" w:space="0" w:color="auto"/>
        <w:left w:val="none" w:sz="0" w:space="0" w:color="auto"/>
        <w:bottom w:val="none" w:sz="0" w:space="0" w:color="auto"/>
        <w:right w:val="none" w:sz="0" w:space="0" w:color="auto"/>
      </w:divBdr>
    </w:div>
    <w:div w:id="1004436993">
      <w:bodyDiv w:val="1"/>
      <w:marLeft w:val="0"/>
      <w:marRight w:val="0"/>
      <w:marTop w:val="0"/>
      <w:marBottom w:val="0"/>
      <w:divBdr>
        <w:top w:val="none" w:sz="0" w:space="0" w:color="auto"/>
        <w:left w:val="none" w:sz="0" w:space="0" w:color="auto"/>
        <w:bottom w:val="none" w:sz="0" w:space="0" w:color="auto"/>
        <w:right w:val="none" w:sz="0" w:space="0" w:color="auto"/>
      </w:divBdr>
    </w:div>
    <w:div w:id="1099448190">
      <w:bodyDiv w:val="1"/>
      <w:marLeft w:val="0"/>
      <w:marRight w:val="0"/>
      <w:marTop w:val="0"/>
      <w:marBottom w:val="0"/>
      <w:divBdr>
        <w:top w:val="none" w:sz="0" w:space="0" w:color="auto"/>
        <w:left w:val="none" w:sz="0" w:space="0" w:color="auto"/>
        <w:bottom w:val="none" w:sz="0" w:space="0" w:color="auto"/>
        <w:right w:val="none" w:sz="0" w:space="0" w:color="auto"/>
      </w:divBdr>
    </w:div>
    <w:div w:id="1099907313">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613511516">
      <w:bodyDiv w:val="1"/>
      <w:marLeft w:val="0"/>
      <w:marRight w:val="0"/>
      <w:marTop w:val="0"/>
      <w:marBottom w:val="0"/>
      <w:divBdr>
        <w:top w:val="none" w:sz="0" w:space="0" w:color="auto"/>
        <w:left w:val="none" w:sz="0" w:space="0" w:color="auto"/>
        <w:bottom w:val="none" w:sz="0" w:space="0" w:color="auto"/>
        <w:right w:val="none" w:sz="0" w:space="0" w:color="auto"/>
      </w:divBdr>
    </w:div>
    <w:div w:id="1654288214">
      <w:bodyDiv w:val="1"/>
      <w:marLeft w:val="0"/>
      <w:marRight w:val="0"/>
      <w:marTop w:val="0"/>
      <w:marBottom w:val="0"/>
      <w:divBdr>
        <w:top w:val="none" w:sz="0" w:space="0" w:color="auto"/>
        <w:left w:val="none" w:sz="0" w:space="0" w:color="auto"/>
        <w:bottom w:val="none" w:sz="0" w:space="0" w:color="auto"/>
        <w:right w:val="none" w:sz="0" w:space="0" w:color="auto"/>
      </w:divBdr>
    </w:div>
    <w:div w:id="1661033609">
      <w:bodyDiv w:val="1"/>
      <w:marLeft w:val="0"/>
      <w:marRight w:val="0"/>
      <w:marTop w:val="0"/>
      <w:marBottom w:val="0"/>
      <w:divBdr>
        <w:top w:val="none" w:sz="0" w:space="0" w:color="auto"/>
        <w:left w:val="none" w:sz="0" w:space="0" w:color="auto"/>
        <w:bottom w:val="none" w:sz="0" w:space="0" w:color="auto"/>
        <w:right w:val="none" w:sz="0" w:space="0" w:color="auto"/>
      </w:divBdr>
    </w:div>
    <w:div w:id="1749961523">
      <w:bodyDiv w:val="1"/>
      <w:marLeft w:val="0"/>
      <w:marRight w:val="0"/>
      <w:marTop w:val="0"/>
      <w:marBottom w:val="0"/>
      <w:divBdr>
        <w:top w:val="none" w:sz="0" w:space="0" w:color="auto"/>
        <w:left w:val="none" w:sz="0" w:space="0" w:color="auto"/>
        <w:bottom w:val="none" w:sz="0" w:space="0" w:color="auto"/>
        <w:right w:val="none" w:sz="0" w:space="0" w:color="auto"/>
      </w:divBdr>
    </w:div>
    <w:div w:id="1767573240">
      <w:bodyDiv w:val="1"/>
      <w:marLeft w:val="0"/>
      <w:marRight w:val="0"/>
      <w:marTop w:val="0"/>
      <w:marBottom w:val="0"/>
      <w:divBdr>
        <w:top w:val="none" w:sz="0" w:space="0" w:color="auto"/>
        <w:left w:val="none" w:sz="0" w:space="0" w:color="auto"/>
        <w:bottom w:val="none" w:sz="0" w:space="0" w:color="auto"/>
        <w:right w:val="none" w:sz="0" w:space="0" w:color="auto"/>
      </w:divBdr>
    </w:div>
    <w:div w:id="1826702282">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3882354">
      <w:bodyDiv w:val="1"/>
      <w:marLeft w:val="0"/>
      <w:marRight w:val="0"/>
      <w:marTop w:val="0"/>
      <w:marBottom w:val="0"/>
      <w:divBdr>
        <w:top w:val="none" w:sz="0" w:space="0" w:color="auto"/>
        <w:left w:val="none" w:sz="0" w:space="0" w:color="auto"/>
        <w:bottom w:val="none" w:sz="0" w:space="0" w:color="auto"/>
        <w:right w:val="none" w:sz="0" w:space="0" w:color="auto"/>
      </w:divBdr>
    </w:div>
    <w:div w:id="1992979444">
      <w:bodyDiv w:val="1"/>
      <w:marLeft w:val="0"/>
      <w:marRight w:val="0"/>
      <w:marTop w:val="0"/>
      <w:marBottom w:val="0"/>
      <w:divBdr>
        <w:top w:val="none" w:sz="0" w:space="0" w:color="auto"/>
        <w:left w:val="none" w:sz="0" w:space="0" w:color="auto"/>
        <w:bottom w:val="none" w:sz="0" w:space="0" w:color="auto"/>
        <w:right w:val="none" w:sz="0" w:space="0" w:color="auto"/>
      </w:divBdr>
    </w:div>
    <w:div w:id="210017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2NQM6TFEKNAF-2083369004-45</_dlc_DocId>
    <_dlc_DocIdUrl xmlns="ad7e9c84-eee2-4f04-8dc4-d8da4998942e">
      <Url>https://sharepoint.qualcomm.com/corp/standards/PM/hermes/_layouts/15/DocIdRedir.aspx?ID=2NQM6TFEKNAF-2083369004-45</Url>
      <Description>2NQM6TFEKNAF-2083369004-45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F04E75D36AD44D87DE2D6256A0A02F" ma:contentTypeVersion="0" ma:contentTypeDescription="Create a new document." ma:contentTypeScope="" ma:versionID="b97958499e1c60be1f89e76d4ea1a367">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ad7e9c84-eee2-4f04-8dc4-d8da4998942e"/>
  </ds:schemaRefs>
</ds:datastoreItem>
</file>

<file path=customXml/itemProps4.xml><?xml version="1.0" encoding="utf-8"?>
<ds:datastoreItem xmlns:ds="http://schemas.openxmlformats.org/officeDocument/2006/customXml" ds:itemID="{AA643C03-C8C0-456D-BF65-B760BC04C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94E637-E7E8-4FAA-BF85-DE450E2E3F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1395</TotalTime>
  <Pages>7</Pages>
  <Words>1908</Words>
  <Characters>10882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Qualcomm1</cp:lastModifiedBy>
  <cp:revision>8</cp:revision>
  <cp:lastPrinted>2020-02-10T06:14:00Z</cp:lastPrinted>
  <dcterms:created xsi:type="dcterms:W3CDTF">2021-05-12T05:40:00Z</dcterms:created>
  <dcterms:modified xsi:type="dcterms:W3CDTF">2021-08-06T05:10:00Z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0x01010059F04E75D36AD44D87DE2D6256A0A02F</vt:lpwstr>
  </property>
  <property fmtid="{D5CDD505-2E9C-101B-9397-08002B2CF9AE}" pid="3" name="_dlc_DocIdItemGuid">
    <vt:lpwstr>7dd04b84-56c0-484e-b587-982f61d4c6eb</vt:lpwstr>
  </property>
</Properties>
</file>